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jc w:val="center"/>
        <w:rPr>
          <w:rFonts w:ascii="PT Astra Serif" w:hAnsi="PT Astra Serif"/>
          <w:b/>
          <w:b/>
          <w:bCs/>
          <w:color w:val="000000"/>
          <w:spacing w:val="6"/>
          <w:sz w:val="22"/>
          <w:szCs w:val="22"/>
        </w:rPr>
      </w:pPr>
      <w:r>
        <w:rPr>
          <w:rFonts w:ascii="PT Astra Serif" w:hAnsi="PT Astra Serif"/>
          <w:b/>
          <w:bCs/>
          <w:color w:val="000000"/>
          <w:spacing w:val="6"/>
          <w:sz w:val="22"/>
          <w:szCs w:val="22"/>
        </w:rPr>
        <w:t xml:space="preserve">ДОГОВОР № </w:t>
      </w:r>
      <w:r>
        <w:rPr>
          <w:rFonts w:ascii="PT Astra Serif" w:hAnsi="PT Astra Serif"/>
          <w:b/>
          <w:bCs/>
          <w:color w:val="000000"/>
          <w:spacing w:val="6"/>
          <w:sz w:val="22"/>
          <w:szCs w:val="22"/>
          <w:u w:val="single"/>
        </w:rPr>
        <w:t>_______</w:t>
      </w:r>
    </w:p>
    <w:p>
      <w:pPr>
        <w:pStyle w:val="NoSpacing"/>
        <w:jc w:val="center"/>
        <w:rPr>
          <w:rFonts w:ascii="PT Astra Serif" w:hAnsi="PT Astra Serif" w:cs="Times New Roman"/>
          <w:b/>
          <w:b/>
          <w:bCs/>
        </w:rPr>
      </w:pPr>
      <w:r>
        <w:rPr>
          <w:rFonts w:cs="Times New Roman" w:ascii="PT Astra Serif" w:hAnsi="PT Astra Serif"/>
          <w:b/>
          <w:bCs/>
        </w:rPr>
        <w:t>об экстренном направлении наряда вневедомственной охраны</w:t>
      </w:r>
    </w:p>
    <w:p>
      <w:pPr>
        <w:pStyle w:val="NoSpacing"/>
        <w:jc w:val="center"/>
        <w:rPr>
          <w:rFonts w:ascii="PT Astra Serif" w:hAnsi="PT Astra Serif" w:cs="Times New Roman"/>
          <w:b/>
          <w:b/>
          <w:bCs/>
        </w:rPr>
      </w:pPr>
      <w:r>
        <w:rPr>
          <w:rFonts w:cs="Times New Roman" w:ascii="PT Astra Serif" w:hAnsi="PT Astra Serif"/>
          <w:b/>
          <w:bCs/>
        </w:rPr>
        <w:t>войск национальной гвардии при поступлении тревожного сообщения с объекта</w:t>
      </w:r>
    </w:p>
    <w:p>
      <w:pPr>
        <w:pStyle w:val="Normal"/>
        <w:shd w:val="clear" w:color="auto" w:fill="FFFFFF"/>
        <w:ind w:firstLine="709"/>
        <w:jc w:val="center"/>
        <w:rPr>
          <w:rFonts w:ascii="PT Astra Serif" w:hAnsi="PT Astra Serif"/>
          <w:color w:val="000000"/>
          <w:spacing w:val="6"/>
          <w:sz w:val="22"/>
          <w:szCs w:val="22"/>
        </w:rPr>
      </w:pPr>
      <w:r>
        <w:rPr>
          <w:rFonts w:ascii="PT Astra Serif" w:hAnsi="PT Astra Serif"/>
          <w:color w:val="000000"/>
          <w:spacing w:val="6"/>
          <w:sz w:val="22"/>
          <w:szCs w:val="22"/>
        </w:rPr>
      </w:r>
    </w:p>
    <w:tbl>
      <w:tblPr>
        <w:tblW w:w="10140" w:type="dxa"/>
        <w:jc w:val="left"/>
        <w:tblInd w:w="-106" w:type="dxa"/>
        <w:tblCellMar>
          <w:top w:w="0" w:type="dxa"/>
          <w:left w:w="108" w:type="dxa"/>
          <w:bottom w:w="0" w:type="dxa"/>
          <w:right w:w="108" w:type="dxa"/>
        </w:tblCellMar>
        <w:tblLook w:val="01e0" w:noHBand="0" w:noVBand="0" w:firstColumn="1" w:lastRow="1" w:lastColumn="1" w:firstRow="1"/>
      </w:tblPr>
      <w:tblGrid>
        <w:gridCol w:w="4452"/>
        <w:gridCol w:w="5687"/>
      </w:tblGrid>
      <w:tr>
        <w:trPr/>
        <w:tc>
          <w:tcPr>
            <w:tcW w:w="4452" w:type="dxa"/>
            <w:tcBorders/>
          </w:tcPr>
          <w:p>
            <w:pPr>
              <w:pStyle w:val="Normal"/>
              <w:rPr>
                <w:rFonts w:ascii="PT Astra Serif" w:hAnsi="PT Astra Serif"/>
                <w:color w:val="000000"/>
                <w:spacing w:val="6"/>
                <w:sz w:val="22"/>
                <w:szCs w:val="22"/>
              </w:rPr>
            </w:pPr>
            <w:r>
              <w:rPr>
                <w:rFonts w:ascii="PT Astra Serif" w:hAnsi="PT Astra Serif"/>
                <w:color w:val="000000"/>
                <w:spacing w:val="-2"/>
                <w:sz w:val="22"/>
                <w:szCs w:val="22"/>
              </w:rPr>
              <w:t>г. ________________</w:t>
            </w:r>
          </w:p>
          <w:p>
            <w:pPr>
              <w:pStyle w:val="Normal"/>
              <w:rPr>
                <w:rFonts w:ascii="PT Astra Serif" w:hAnsi="PT Astra Serif"/>
                <w:color w:val="000000"/>
                <w:spacing w:val="6"/>
                <w:sz w:val="22"/>
                <w:szCs w:val="22"/>
              </w:rPr>
            </w:pPr>
            <w:r>
              <w:rPr>
                <w:rFonts w:ascii="PT Astra Serif" w:hAnsi="PT Astra Serif"/>
                <w:color w:val="000000"/>
                <w:spacing w:val="6"/>
                <w:sz w:val="22"/>
                <w:szCs w:val="22"/>
              </w:rPr>
            </w:r>
          </w:p>
        </w:tc>
        <w:tc>
          <w:tcPr>
            <w:tcW w:w="5687" w:type="dxa"/>
            <w:tcBorders/>
          </w:tcPr>
          <w:p>
            <w:pPr>
              <w:pStyle w:val="Normal"/>
              <w:jc w:val="right"/>
              <w:rPr>
                <w:rFonts w:ascii="PT Astra Serif" w:hAnsi="PT Astra Serif"/>
                <w:color w:val="000000"/>
                <w:spacing w:val="6"/>
                <w:sz w:val="22"/>
                <w:szCs w:val="22"/>
              </w:rPr>
            </w:pPr>
            <w:r>
              <w:rPr>
                <w:rFonts w:ascii="PT Astra Serif" w:hAnsi="PT Astra Serif"/>
                <w:color w:val="000000"/>
                <w:spacing w:val="6"/>
                <w:sz w:val="22"/>
                <w:szCs w:val="22"/>
              </w:rPr>
              <w:t xml:space="preserve">  </w:t>
            </w:r>
            <w:r>
              <w:rPr>
                <w:rFonts w:ascii="PT Astra Serif" w:hAnsi="PT Astra Serif"/>
                <w:color w:val="000000"/>
                <w:spacing w:val="6"/>
                <w:sz w:val="22"/>
                <w:szCs w:val="22"/>
              </w:rPr>
              <w:t>«___» _____________ 202_ года</w:t>
            </w:r>
          </w:p>
        </w:tc>
      </w:tr>
    </w:tbl>
    <w:p>
      <w:pPr>
        <w:pStyle w:val="NoSpacing"/>
        <w:shd w:val="clear" w:color="auto" w:fill="FFFFFF"/>
        <w:ind w:firstLine="709"/>
        <w:jc w:val="both"/>
        <w:rPr>
          <w:rFonts w:ascii="PT Astra Serif" w:hAnsi="PT Astra Serif"/>
          <w:sz w:val="21"/>
          <w:szCs w:val="21"/>
        </w:rPr>
      </w:pPr>
      <w:r>
        <w:rPr>
          <w:rFonts w:cs="Times New Roman" w:ascii="PT Astra Serif" w:hAnsi="PT Astra Serif"/>
          <w:b/>
          <w:bCs/>
          <w:spacing w:val="-5"/>
          <w:sz w:val="20"/>
          <w:szCs w:val="20"/>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Архангельской области», </w:t>
      </w:r>
      <w:r>
        <w:rPr>
          <w:rFonts w:cs="Times New Roman" w:ascii="PT Astra Serif" w:hAnsi="PT Astra Serif"/>
          <w:b w:val="false"/>
          <w:bCs w:val="false"/>
          <w:color w:val="000000"/>
          <w:spacing w:val="6"/>
          <w:sz w:val="20"/>
          <w:szCs w:val="20"/>
        </w:rPr>
        <w:t xml:space="preserve">именуемое в дальнейшем «Исполнитель», </w:t>
      </w:r>
      <w:r>
        <w:rPr>
          <w:rFonts w:cs="Times New Roman" w:ascii="PT Astra Serif" w:hAnsi="PT Astra Serif"/>
          <w:b w:val="false"/>
          <w:bCs w:val="false"/>
          <w:spacing w:val="-4"/>
          <w:sz w:val="20"/>
          <w:szCs w:val="20"/>
        </w:rPr>
        <w:t>в лице ____________________________________, действующего на основании _____________________ с одной стороны, и</w:t>
      </w:r>
      <w:r>
        <w:rPr>
          <w:rFonts w:cs="Times New Roman" w:ascii="PT Astra Serif" w:hAnsi="PT Astra Serif"/>
          <w:b w:val="false"/>
          <w:bCs w:val="false"/>
          <w:spacing w:val="-5"/>
          <w:sz w:val="20"/>
          <w:szCs w:val="20"/>
        </w:rPr>
        <w:t xml:space="preserve"> ____________________________________, </w:t>
      </w:r>
      <w:r>
        <w:rPr>
          <w:rFonts w:cs="Times New Roman" w:ascii="PT Astra Serif" w:hAnsi="PT Astra Serif"/>
          <w:b w:val="false"/>
          <w:bCs w:val="false"/>
          <w:spacing w:val="-4"/>
          <w:sz w:val="20"/>
          <w:szCs w:val="20"/>
        </w:rPr>
        <w:t xml:space="preserve">именуемое в дальнейшем «Заказчик», действующее на основании ______________________, в лице </w:t>
      </w:r>
      <w:r>
        <w:rPr>
          <w:rFonts w:cs="Times New Roman" w:ascii="PT Astra Serif" w:hAnsi="PT Astra Serif"/>
          <w:b w:val="false"/>
          <w:bCs w:val="false"/>
          <w:spacing w:val="-5"/>
          <w:sz w:val="20"/>
          <w:szCs w:val="20"/>
        </w:rPr>
        <w:t>________________________</w:t>
      </w:r>
      <w:r>
        <w:rPr>
          <w:rFonts w:cs="Times New Roman" w:ascii="PT Astra Serif" w:hAnsi="PT Astra Serif"/>
          <w:b w:val="false"/>
          <w:bCs w:val="false"/>
          <w:spacing w:val="-4"/>
          <w:sz w:val="20"/>
          <w:szCs w:val="20"/>
        </w:rPr>
        <w:t xml:space="preserve">, </w:t>
      </w:r>
      <w:r>
        <w:rPr>
          <w:rFonts w:cs="Times New Roman" w:ascii="PT Astra Serif" w:hAnsi="PT Astra Serif"/>
          <w:b w:val="false"/>
          <w:bCs w:val="false"/>
          <w:spacing w:val="-5"/>
          <w:sz w:val="20"/>
          <w:szCs w:val="20"/>
        </w:rPr>
        <w:t>с другой стороны, совместно именуемые «Стороны», заключили настоящий договор о нижеследующем:</w:t>
      </w:r>
    </w:p>
    <w:p>
      <w:pPr>
        <w:pStyle w:val="Normal"/>
        <w:shd w:val="clear" w:color="auto" w:fill="FFFFFF"/>
        <w:jc w:val="center"/>
        <w:rPr>
          <w:rFonts w:ascii="PT Astra Serif" w:hAnsi="PT Astra Serif"/>
          <w:b/>
          <w:b/>
          <w:bCs/>
          <w:color w:val="000000"/>
          <w:spacing w:val="6"/>
          <w:sz w:val="22"/>
          <w:szCs w:val="22"/>
        </w:rPr>
      </w:pPr>
      <w:r>
        <w:rPr>
          <w:rFonts w:ascii="PT Astra Serif" w:hAnsi="PT Astra Serif"/>
          <w:b/>
          <w:bCs/>
          <w:color w:val="000000"/>
          <w:spacing w:val="6"/>
          <w:sz w:val="22"/>
          <w:szCs w:val="22"/>
        </w:rPr>
      </w:r>
    </w:p>
    <w:p>
      <w:pPr>
        <w:pStyle w:val="Normal"/>
        <w:shd w:val="clear" w:color="auto" w:fill="FFFFFF"/>
        <w:jc w:val="center"/>
        <w:rPr>
          <w:rFonts w:ascii="PT Astra Serif" w:hAnsi="PT Astra Serif"/>
          <w:color w:val="000000"/>
          <w:spacing w:val="6"/>
          <w:sz w:val="22"/>
          <w:szCs w:val="22"/>
        </w:rPr>
      </w:pPr>
      <w:r>
        <w:rPr>
          <w:rFonts w:ascii="PT Astra Serif" w:hAnsi="PT Astra Serif"/>
          <w:b/>
          <w:bCs/>
          <w:color w:val="000000"/>
          <w:spacing w:val="6"/>
          <w:sz w:val="22"/>
          <w:szCs w:val="22"/>
        </w:rPr>
        <w:t>1. Предмет договора</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1.1. «Исполнитель» обеспечивает прибытие наряда вневедомственной охраны войск национальной гвардии (далее – наряд вневедомственной охраны) при срабатывании тревожной сигнализации, установленной на объектах «Заказчика», указанных в Перечне объектов (Приложение №1 к настоящему Договору), и подключенной на пульт централизованного наблюдения «Исполнителя» (далее – «Объект»).</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1.2. «Заказчик» обязуется осуществлять оплату услуг, предоставляемых «Исполнителем», в порядке, определенном настоящим Договором, а также принять все предусмотренные Договором меры по содействию «Исполнителю» в выполнении им своих обязательств.</w:t>
      </w:r>
    </w:p>
    <w:p>
      <w:pPr>
        <w:pStyle w:val="NoSpacing"/>
        <w:jc w:val="both"/>
        <w:rPr>
          <w:rFonts w:ascii="PT Astra Serif" w:hAnsi="PT Astra Serif" w:cs="Times New Roman"/>
          <w:color w:val="000000"/>
          <w:spacing w:val="6"/>
        </w:rPr>
      </w:pPr>
      <w:r>
        <w:rPr>
          <w:rFonts w:cs="Times New Roman" w:ascii="PT Astra Serif" w:hAnsi="PT Astra Serif"/>
          <w:color w:val="000000"/>
          <w:spacing w:val="6"/>
        </w:rPr>
        <w:t>1.3. Проведение монтажа, техническое обслуживание и ремонт технических средств охраны, средств тревожной сигнализации на «Объекте» «Заказчика» должна осуществлять ФГУП «Охрана» Росгвардии, либо другая обслуживающая организация, имеющая право на проведение работ по монтажу, техническому обслуживанию и ремонту технических средств охраны, средств тревожной сигнализации  установленных на «Объекте», переданных под охрану подразделениям вневедомственной охраны территориальных органов Росгвардии, в соответствии с законодательными и иными нормативными правовыми актами Российской Федерации.</w:t>
      </w:r>
    </w:p>
    <w:p>
      <w:pPr>
        <w:pStyle w:val="Normal"/>
        <w:shd w:val="clear" w:color="auto" w:fill="FFFFFF"/>
        <w:ind w:right="104" w:hanging="0"/>
        <w:jc w:val="both"/>
        <w:rPr>
          <w:rFonts w:ascii="PT Astra Serif" w:hAnsi="PT Astra Serif"/>
          <w:sz w:val="22"/>
          <w:szCs w:val="22"/>
        </w:rPr>
      </w:pPr>
      <w:r>
        <w:rPr>
          <w:rFonts w:ascii="PT Astra Serif" w:hAnsi="PT Astra Serif"/>
          <w:color w:val="000000"/>
          <w:spacing w:val="6"/>
          <w:sz w:val="22"/>
          <w:szCs w:val="22"/>
        </w:rPr>
        <w:t>1.4.</w:t>
      </w:r>
      <w:r>
        <w:rPr>
          <w:rFonts w:ascii="PT Astra Serif" w:hAnsi="PT Astra Serif"/>
          <w:color w:val="000000"/>
          <w:spacing w:val="2"/>
          <w:sz w:val="22"/>
          <w:szCs w:val="22"/>
        </w:rPr>
        <w:t xml:space="preserve"> Установка и техническое эксплуатационное обслуживание средств тревожной </w:t>
      </w:r>
      <w:r>
        <w:rPr>
          <w:rFonts w:ascii="PT Astra Serif" w:hAnsi="PT Astra Serif"/>
          <w:color w:val="000000"/>
          <w:spacing w:val="3"/>
          <w:sz w:val="22"/>
          <w:szCs w:val="22"/>
        </w:rPr>
        <w:t xml:space="preserve">сигнализации на Объекте производится обслуживающей организацией  по отдельному договору с </w:t>
      </w:r>
      <w:r>
        <w:rPr>
          <w:rFonts w:ascii="PT Astra Serif" w:hAnsi="PT Astra Serif"/>
          <w:sz w:val="22"/>
          <w:szCs w:val="22"/>
        </w:rPr>
        <w:t>«Заказчиком»</w:t>
      </w:r>
      <w:r>
        <w:rPr>
          <w:rFonts w:ascii="PT Astra Serif" w:hAnsi="PT Astra Serif"/>
          <w:color w:val="000000"/>
          <w:spacing w:val="3"/>
          <w:sz w:val="22"/>
          <w:szCs w:val="22"/>
        </w:rPr>
        <w:t xml:space="preserve">. </w:t>
      </w:r>
      <w:r>
        <w:rPr>
          <w:rFonts w:ascii="PT Astra Serif" w:hAnsi="PT Astra Serif"/>
          <w:color w:val="000000"/>
          <w:spacing w:val="-2"/>
          <w:sz w:val="22"/>
          <w:szCs w:val="22"/>
        </w:rPr>
        <w:t xml:space="preserve">Ответственность за исправность тревожной сигнализации, установленной на Объекте, несет </w:t>
      </w:r>
      <w:r>
        <w:rPr>
          <w:rFonts w:ascii="PT Astra Serif" w:hAnsi="PT Astra Serif"/>
          <w:color w:val="000000"/>
          <w:spacing w:val="-1"/>
          <w:sz w:val="22"/>
          <w:szCs w:val="22"/>
        </w:rPr>
        <w:t>«Заказчик».</w:t>
      </w:r>
    </w:p>
    <w:p>
      <w:pPr>
        <w:pStyle w:val="Normal"/>
        <w:jc w:val="both"/>
        <w:rPr>
          <w:rFonts w:ascii="PT Astra Serif" w:hAnsi="PT Astra Serif"/>
          <w:sz w:val="22"/>
          <w:szCs w:val="22"/>
        </w:rPr>
      </w:pPr>
      <w:r>
        <w:rPr>
          <w:rFonts w:ascii="PT Astra Serif" w:hAnsi="PT Astra Serif"/>
          <w:color w:val="000000"/>
          <w:spacing w:val="6"/>
          <w:sz w:val="22"/>
          <w:szCs w:val="22"/>
        </w:rPr>
        <w:t>1.5.</w:t>
      </w:r>
      <w:r>
        <w:rPr>
          <w:rFonts w:ascii="PT Astra Serif" w:hAnsi="PT Astra Serif"/>
          <w:sz w:val="22"/>
          <w:szCs w:val="22"/>
        </w:rPr>
        <w:t xml:space="preserve"> Техническое состояние «Объекта», средств сигнализации, их количество, а также сроки их внедрения указываются в актах, составляемых перед заключением </w:t>
      </w:r>
      <w:r>
        <w:rPr>
          <w:rFonts w:ascii="PT Astra Serif" w:hAnsi="PT Astra Serif"/>
          <w:spacing w:val="-4"/>
          <w:sz w:val="22"/>
          <w:szCs w:val="22"/>
        </w:rPr>
        <w:t>Договор</w:t>
      </w:r>
      <w:r>
        <w:rPr>
          <w:rFonts w:ascii="PT Astra Serif" w:hAnsi="PT Astra Serif"/>
          <w:sz w:val="22"/>
          <w:szCs w:val="22"/>
        </w:rPr>
        <w:t>а и при очередных обследованиях</w:t>
      </w:r>
      <w:r>
        <w:rPr>
          <w:rStyle w:val="Style21"/>
          <w:rFonts w:ascii="PT Astra Serif" w:hAnsi="PT Astra Serif"/>
          <w:sz w:val="22"/>
          <w:szCs w:val="22"/>
        </w:rPr>
        <w:footnoteReference w:id="2"/>
      </w:r>
      <w:r>
        <w:rPr>
          <w:rFonts w:ascii="PT Astra Serif" w:hAnsi="PT Astra Serif"/>
          <w:sz w:val="22"/>
          <w:szCs w:val="22"/>
        </w:rPr>
        <w:t>. Предложения Актов обследования по усилению технической укрепленности и оснащенности Объекта техническими средствами сигнализации, соответствующие требованиям нормативных документов  и руководящих документов (Р 102-2024), являются обязательными для «Заказчика».</w:t>
      </w:r>
    </w:p>
    <w:p>
      <w:pPr>
        <w:pStyle w:val="Normal"/>
        <w:shd w:val="clear" w:color="auto" w:fill="FFFFFF"/>
        <w:jc w:val="center"/>
        <w:rPr>
          <w:rFonts w:ascii="PT Astra Serif" w:hAnsi="PT Astra Serif"/>
          <w:sz w:val="22"/>
          <w:szCs w:val="22"/>
        </w:rPr>
      </w:pPr>
      <w:r>
        <w:rPr>
          <w:rFonts w:ascii="PT Astra Serif" w:hAnsi="PT Astra Serif"/>
          <w:sz w:val="22"/>
          <w:szCs w:val="22"/>
        </w:rPr>
      </w:r>
    </w:p>
    <w:p>
      <w:pPr>
        <w:pStyle w:val="Normal"/>
        <w:shd w:val="clear" w:color="auto" w:fill="FFFFFF"/>
        <w:jc w:val="center"/>
        <w:rPr>
          <w:rFonts w:ascii="PT Astra Serif" w:hAnsi="PT Astra Serif"/>
          <w:b/>
          <w:b/>
          <w:bCs/>
          <w:color w:val="000000"/>
          <w:spacing w:val="6"/>
          <w:sz w:val="22"/>
          <w:szCs w:val="22"/>
        </w:rPr>
      </w:pPr>
      <w:r>
        <w:rPr>
          <w:rFonts w:ascii="PT Astra Serif" w:hAnsi="PT Astra Serif"/>
          <w:b/>
          <w:bCs/>
          <w:color w:val="000000"/>
          <w:spacing w:val="6"/>
          <w:sz w:val="22"/>
          <w:szCs w:val="22"/>
        </w:rPr>
        <w:t>2. Обязанности «Исполнителя»</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2.1. После включения «Заказчиком» тревожной сигнализации на «Объекте» осуществлять при помощи пульта централизованного наблюдения (далее – ПЦН) наблюдение за ее состоянием в период времени, указанный в Перечне объектов (Приложение №1).</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2.2. При поступлении сигнала «тревога» с «Объекта» в период времени, указанный в Перечне объектов (Приложение №1), немедленно направлять на «Объект» наряд вневедомственной охраны для выяснения причин срабатывания тревожной сигнализации, а при необходимости - для принятия мер к пресечению противоправных действий и задержанию лиц, их совершающих.</w:t>
      </w:r>
    </w:p>
    <w:p>
      <w:pPr>
        <w:pStyle w:val="Normal"/>
        <w:shd w:val="clear" w:color="auto" w:fill="FFFFFF"/>
        <w:ind w:firstLine="709"/>
        <w:jc w:val="both"/>
        <w:rPr>
          <w:rFonts w:ascii="PT Astra Serif" w:hAnsi="PT Astra Serif"/>
          <w:color w:val="000000"/>
          <w:spacing w:val="6"/>
          <w:sz w:val="22"/>
          <w:szCs w:val="22"/>
        </w:rPr>
      </w:pPr>
      <w:r>
        <w:rPr>
          <w:rFonts w:ascii="PT Astra Serif" w:hAnsi="PT Astra Serif"/>
          <w:color w:val="000000"/>
          <w:spacing w:val="6"/>
          <w:sz w:val="22"/>
          <w:szCs w:val="22"/>
        </w:rPr>
        <w:t xml:space="preserve">Порядок действий наряда вневедомственной охраны при выезде осуществляется в соответствии с </w:t>
      </w:r>
      <w:r>
        <w:rPr>
          <w:rFonts w:ascii="PT Astra Serif" w:hAnsi="PT Astra Serif"/>
          <w:spacing w:val="-4"/>
          <w:sz w:val="22"/>
          <w:szCs w:val="22"/>
        </w:rPr>
        <w:t>Федеральным законом Российской Федерации № 226-ФЗ от 03.07.2016 г. «О войсках национальной гвардии Российской Федерации»</w:t>
      </w:r>
      <w:r>
        <w:rPr>
          <w:rFonts w:ascii="PT Astra Serif" w:hAnsi="PT Astra Serif"/>
          <w:color w:val="000000"/>
          <w:spacing w:val="6"/>
          <w:sz w:val="22"/>
          <w:szCs w:val="22"/>
        </w:rPr>
        <w:t>, нормативными актами Росгвардии.</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 xml:space="preserve">2.3. При необходимости вызвать дополнительные силы вневедомственной охраны и (или) </w:t>
      </w:r>
      <w:r>
        <w:rPr>
          <w:rFonts w:ascii="PT Astra Serif" w:hAnsi="PT Astra Serif"/>
          <w:sz w:val="22"/>
          <w:szCs w:val="22"/>
        </w:rPr>
        <w:t xml:space="preserve">полиции </w:t>
      </w:r>
      <w:r>
        <w:rPr>
          <w:rFonts w:ascii="PT Astra Serif" w:hAnsi="PT Astra Serif"/>
          <w:color w:val="000000"/>
          <w:spacing w:val="6"/>
          <w:sz w:val="22"/>
          <w:szCs w:val="22"/>
        </w:rPr>
        <w:t>для пресечения противоправных действий на «Объекте» «Заказчика».</w:t>
      </w:r>
    </w:p>
    <w:p>
      <w:pPr>
        <w:pStyle w:val="Normal"/>
        <w:shd w:val="clear" w:color="auto" w:fill="FFFFFF"/>
        <w:jc w:val="center"/>
        <w:rPr>
          <w:rFonts w:ascii="PT Astra Serif" w:hAnsi="PT Astra Serif"/>
          <w:color w:val="000000"/>
          <w:spacing w:val="6"/>
          <w:sz w:val="22"/>
          <w:szCs w:val="22"/>
        </w:rPr>
      </w:pPr>
      <w:r>
        <w:rPr>
          <w:rFonts w:ascii="PT Astra Serif" w:hAnsi="PT Astra Serif"/>
          <w:b/>
          <w:bCs/>
          <w:color w:val="000000"/>
          <w:spacing w:val="6"/>
          <w:sz w:val="22"/>
          <w:szCs w:val="22"/>
        </w:rPr>
        <w:t xml:space="preserve">3. Обязанности </w:t>
      </w:r>
      <w:r>
        <w:rPr>
          <w:rFonts w:ascii="PT Astra Serif" w:hAnsi="PT Astra Serif"/>
          <w:b/>
          <w:bCs/>
          <w:color w:val="000000"/>
          <w:spacing w:val="1"/>
          <w:sz w:val="22"/>
          <w:szCs w:val="22"/>
        </w:rPr>
        <w:t>«Заказчика»</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3.1. Для оформления Договора предоставить «Исполнителю» копии уставных документов, документов на право пользования «Объектом», свидетельства о регистрации, свидетельства о постановке на учет в налоговом органе, банковские реквизиты. В течение срока действия Договора своевременно сообщать «Исполнителю» в письменной форме о произошедших изменениях в указанных документах и реквизитах в течение 30 (Тридцати) дней с момента изменения.</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3.2. Соблюдать правила (памятку) пользования средствами тревожной сигнализации. Не разглашать принципы (шифр) пользования тревожной сигнализацией и места установки тревожной сигнализации. Не допускать к пользованию средствами тревожной сигнализации лиц, не прошедших инструктаж о порядке их пользования.</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3.3. Производить проверку работоспособности тревожной сигнализации сразу после ее включения, но не реже 1 (Одного) раза в сутки, путем пробной подачи сигнала «Тревога» с предварительным уведомлением об этом «Исполнителя» по телефону.</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3.4. Оказывать всестороннее содействие сотрудникам «Исполнителя» при выполнении ими своих функциональных обязанностей.</w:t>
      </w:r>
      <w:r>
        <w:rPr>
          <w:rFonts w:ascii="PT Astra Serif" w:hAnsi="PT Astra Serif"/>
          <w:sz w:val="22"/>
          <w:szCs w:val="22"/>
        </w:rPr>
        <w:t xml:space="preserve"> Организовать и обеспечить «Исполнителю» возможность свободного доступа на «Объект» в целях выполнения им принятых на себя обязательств в соответствии с Договором.</w:t>
      </w:r>
    </w:p>
    <w:p>
      <w:pPr>
        <w:pStyle w:val="Normal"/>
        <w:shd w:val="clear" w:color="auto" w:fill="FFFFFF"/>
        <w:jc w:val="both"/>
        <w:rPr>
          <w:rFonts w:ascii="PT Astra Serif" w:hAnsi="PT Astra Serif"/>
          <w:color w:val="000000"/>
          <w:spacing w:val="3"/>
          <w:sz w:val="22"/>
          <w:szCs w:val="22"/>
        </w:rPr>
      </w:pPr>
      <w:r>
        <w:rPr>
          <w:rFonts w:ascii="PT Astra Serif" w:hAnsi="PT Astra Serif"/>
          <w:color w:val="000000"/>
          <w:spacing w:val="1"/>
          <w:sz w:val="22"/>
          <w:szCs w:val="22"/>
        </w:rPr>
        <w:t xml:space="preserve">3.5. Заключить договор на </w:t>
      </w:r>
      <w:r>
        <w:rPr>
          <w:rFonts w:ascii="PT Astra Serif" w:hAnsi="PT Astra Serif"/>
          <w:color w:val="000000"/>
          <w:spacing w:val="2"/>
          <w:sz w:val="22"/>
          <w:szCs w:val="22"/>
        </w:rPr>
        <w:t xml:space="preserve">установку и техническое эксплуатационное обслуживание средств тревожной </w:t>
      </w:r>
      <w:r>
        <w:rPr>
          <w:rFonts w:ascii="PT Astra Serif" w:hAnsi="PT Astra Serif"/>
          <w:color w:val="000000"/>
          <w:spacing w:val="3"/>
          <w:sz w:val="22"/>
          <w:szCs w:val="22"/>
        </w:rPr>
        <w:t xml:space="preserve">сигнализации на Объекте </w:t>
      </w:r>
      <w:r>
        <w:rPr>
          <w:rFonts w:ascii="PT Astra Serif" w:hAnsi="PT Astra Serif"/>
          <w:color w:val="000000"/>
          <w:spacing w:val="1"/>
          <w:sz w:val="22"/>
          <w:szCs w:val="22"/>
        </w:rPr>
        <w:t xml:space="preserve">с </w:t>
      </w:r>
      <w:r>
        <w:rPr>
          <w:rFonts w:ascii="PT Astra Serif" w:hAnsi="PT Astra Serif"/>
          <w:color w:val="000000"/>
          <w:spacing w:val="3"/>
          <w:sz w:val="22"/>
          <w:szCs w:val="22"/>
        </w:rPr>
        <w:t>обслуживающей организацией.</w:t>
      </w:r>
    </w:p>
    <w:p>
      <w:pPr>
        <w:pStyle w:val="Normal"/>
        <w:shd w:val="clear" w:color="auto" w:fill="FFFFFF"/>
        <w:jc w:val="both"/>
        <w:rPr>
          <w:rFonts w:ascii="PT Astra Serif" w:hAnsi="PT Astra Serif"/>
          <w:sz w:val="22"/>
          <w:szCs w:val="22"/>
        </w:rPr>
      </w:pPr>
      <w:r>
        <w:rPr>
          <w:rFonts w:ascii="PT Astra Serif" w:hAnsi="PT Astra Serif"/>
          <w:color w:val="000000"/>
          <w:spacing w:val="1"/>
          <w:sz w:val="22"/>
          <w:szCs w:val="22"/>
        </w:rPr>
        <w:t xml:space="preserve">3.6. Принимать меры к содержанию в исправном состоянии и своевременному (не реже 1 (одного) раза в течение срока службы приборов, извещателей и прочих элементов, установленного заводами-изготовителями) ремонту </w:t>
      </w:r>
      <w:r>
        <w:rPr>
          <w:rFonts w:ascii="PT Astra Serif" w:hAnsi="PT Astra Serif"/>
          <w:sz w:val="22"/>
          <w:szCs w:val="22"/>
        </w:rPr>
        <w:t>средств тревожной сигнализации, установленных на «Объектах».</w:t>
      </w:r>
    </w:p>
    <w:p>
      <w:pPr>
        <w:pStyle w:val="Normal"/>
        <w:shd w:val="clear" w:color="auto" w:fill="FFFFFF"/>
        <w:jc w:val="both"/>
        <w:rPr>
          <w:rFonts w:ascii="PT Astra Serif" w:hAnsi="PT Astra Serif"/>
          <w:sz w:val="22"/>
          <w:szCs w:val="22"/>
        </w:rPr>
      </w:pPr>
      <w:r>
        <w:rPr>
          <w:rFonts w:ascii="PT Astra Serif" w:hAnsi="PT Astra Serif"/>
          <w:sz w:val="22"/>
          <w:szCs w:val="22"/>
        </w:rPr>
        <w:t>3.7. Не вносить изменения в схему блокировки «Объекта». Своевременно сообщать «Исполнителю» о возникших неисправностях. Не допускать к обслуживанию средств тревожной сигнализации, устранению неисправностей посторонних лиц, за исключением работников обслуживающей средства тревожной сигнализации организации, не производить указанные работы своими силами.</w:t>
      </w:r>
    </w:p>
    <w:p>
      <w:pPr>
        <w:pStyle w:val="Normal"/>
        <w:shd w:val="clear" w:color="auto" w:fill="FFFFFF"/>
        <w:jc w:val="both"/>
        <w:rPr>
          <w:rFonts w:ascii="PT Astra Serif" w:hAnsi="PT Astra Serif"/>
          <w:sz w:val="22"/>
          <w:szCs w:val="22"/>
        </w:rPr>
      </w:pPr>
      <w:r>
        <w:rPr>
          <w:rFonts w:ascii="PT Astra Serif" w:hAnsi="PT Astra Serif"/>
          <w:sz w:val="22"/>
          <w:szCs w:val="22"/>
        </w:rPr>
        <w:t>3.8. Обеспечить исправность и бесперебойную работу линий телефонной связи и сети электропитания, к которым подключена тревожная сигнализация.</w:t>
      </w:r>
    </w:p>
    <w:p>
      <w:pPr>
        <w:pStyle w:val="Normal"/>
        <w:shd w:val="clear" w:color="auto" w:fill="FFFFFF"/>
        <w:jc w:val="both"/>
        <w:rPr>
          <w:rFonts w:ascii="PT Astra Serif" w:hAnsi="PT Astra Serif"/>
          <w:sz w:val="22"/>
          <w:szCs w:val="22"/>
        </w:rPr>
      </w:pPr>
      <w:r>
        <w:rPr>
          <w:rFonts w:ascii="PT Astra Serif" w:hAnsi="PT Astra Serif"/>
          <w:sz w:val="22"/>
          <w:szCs w:val="22"/>
        </w:rPr>
        <w:t>3.9.</w:t>
      </w:r>
      <w:r>
        <w:rPr>
          <w:rFonts w:ascii="PT Astra Serif" w:hAnsi="PT Astra Serif"/>
          <w:spacing w:val="-8"/>
          <w:sz w:val="22"/>
          <w:szCs w:val="22"/>
        </w:rPr>
        <w:t xml:space="preserve"> С</w:t>
      </w:r>
      <w:r>
        <w:rPr>
          <w:rFonts w:ascii="PT Astra Serif" w:hAnsi="PT Astra Serif"/>
          <w:sz w:val="22"/>
          <w:szCs w:val="22"/>
        </w:rPr>
        <w:t xml:space="preserve">овместно с </w:t>
      </w:r>
      <w:r>
        <w:rPr>
          <w:rFonts w:ascii="PT Astra Serif" w:hAnsi="PT Astra Serif"/>
          <w:spacing w:val="-8"/>
          <w:sz w:val="22"/>
          <w:szCs w:val="22"/>
        </w:rPr>
        <w:t xml:space="preserve">«Исполнителем» </w:t>
      </w:r>
      <w:r>
        <w:rPr>
          <w:rFonts w:ascii="PT Astra Serif" w:hAnsi="PT Astra Serif"/>
          <w:sz w:val="22"/>
          <w:szCs w:val="22"/>
        </w:rPr>
        <w:t>периодически</w:t>
      </w:r>
      <w:r>
        <w:rPr>
          <w:rStyle w:val="Style21"/>
          <w:rFonts w:ascii="PT Astra Serif" w:hAnsi="PT Astra Serif"/>
          <w:sz w:val="22"/>
          <w:szCs w:val="22"/>
        </w:rPr>
        <w:footnoteReference w:id="3"/>
      </w:r>
      <w:r>
        <w:rPr>
          <w:rFonts w:ascii="PT Astra Serif" w:hAnsi="PT Astra Serif"/>
          <w:sz w:val="22"/>
          <w:szCs w:val="22"/>
        </w:rPr>
        <w:t xml:space="preserve"> проводить технические осмотры Объекта, в том числе состояния средств сигнализации, инженерно-технической укреплённости.  </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3.10. Своевременно оплачивать услуги, оказываемые «Исполнителем», согласно условиям Договора.</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3.11. Незамедлительно информировать «Исполнителя» о возникновении спора о праве собственности и (или) управления «Объектами», включенными в Перечень объектов (Приложение №1).</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3.12.</w:t>
      </w:r>
      <w:r>
        <w:rPr>
          <w:rFonts w:ascii="PT Astra Serif" w:hAnsi="PT Astra Serif"/>
          <w:spacing w:val="-1"/>
          <w:sz w:val="22"/>
          <w:szCs w:val="22"/>
        </w:rPr>
        <w:t xml:space="preserve"> Не позднее 5 (пяти) рабочих дней с момента получения подписать предоставленные «Исполнителем» Акты оказанных услуг за расчетный месяц.В случае невозвращения «Исполнителю» в указанный срок надлежащим образом оформленного акта оказанных услуг или письменных возражений на него, услуги считаются оказанными </w:t>
      </w:r>
      <w:r>
        <w:rPr>
          <w:rFonts w:ascii="PT Astra Serif" w:hAnsi="PT Astra Serif"/>
          <w:spacing w:val="-5"/>
          <w:sz w:val="22"/>
          <w:szCs w:val="22"/>
        </w:rPr>
        <w:t>надлежащим образом и принятыми «Заказчиком».</w:t>
      </w:r>
    </w:p>
    <w:p>
      <w:pPr>
        <w:pStyle w:val="NoSpacing"/>
        <w:jc w:val="both"/>
        <w:rPr>
          <w:rFonts w:ascii="PT Astra Serif" w:hAnsi="PT Astra Serif" w:cs="Times New Roman"/>
          <w:spacing w:val="-1"/>
        </w:rPr>
      </w:pPr>
      <w:r>
        <w:rPr>
          <w:rFonts w:cs="Times New Roman" w:ascii="PT Astra Serif" w:hAnsi="PT Astra Serif"/>
          <w:spacing w:val="-1"/>
        </w:rPr>
        <w:t>3.13. Исправность технических средств сигнализации на «Объекте» обеспечивает «Заказчик».</w:t>
      </w:r>
    </w:p>
    <w:p>
      <w:pPr>
        <w:pStyle w:val="Normal"/>
        <w:shd w:val="clear" w:color="auto" w:fill="FFFFFF"/>
        <w:ind w:firstLine="709"/>
        <w:jc w:val="center"/>
        <w:rPr>
          <w:rFonts w:ascii="PT Astra Serif" w:hAnsi="PT Astra Serif"/>
          <w:b/>
          <w:b/>
          <w:bCs/>
          <w:color w:val="000000"/>
          <w:spacing w:val="6"/>
          <w:sz w:val="22"/>
          <w:szCs w:val="22"/>
        </w:rPr>
      </w:pPr>
      <w:r>
        <w:rPr>
          <w:rFonts w:ascii="PT Astra Serif" w:hAnsi="PT Astra Serif"/>
          <w:b/>
          <w:bCs/>
          <w:color w:val="000000"/>
          <w:spacing w:val="6"/>
          <w:sz w:val="22"/>
          <w:szCs w:val="22"/>
        </w:rPr>
      </w:r>
    </w:p>
    <w:p>
      <w:pPr>
        <w:pStyle w:val="Normal"/>
        <w:shd w:val="clear" w:color="auto" w:fill="FFFFFF"/>
        <w:jc w:val="center"/>
        <w:rPr>
          <w:rFonts w:ascii="PT Astra Serif" w:hAnsi="PT Astra Serif"/>
          <w:b/>
          <w:b/>
          <w:bCs/>
          <w:color w:val="000000"/>
          <w:spacing w:val="6"/>
          <w:sz w:val="22"/>
          <w:szCs w:val="22"/>
        </w:rPr>
      </w:pPr>
      <w:r>
        <w:rPr>
          <w:rFonts w:ascii="PT Astra Serif" w:hAnsi="PT Astra Serif"/>
          <w:b/>
          <w:bCs/>
          <w:color w:val="000000"/>
          <w:spacing w:val="6"/>
          <w:sz w:val="22"/>
          <w:szCs w:val="22"/>
        </w:rPr>
        <w:t>4. Права сторон</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pacing w:val="6"/>
          <w:sz w:val="22"/>
          <w:szCs w:val="22"/>
        </w:rPr>
        <w:t>4.1. «Заказчик» вправе:</w:t>
      </w:r>
    </w:p>
    <w:p>
      <w:pPr>
        <w:pStyle w:val="Normal"/>
        <w:shd w:val="clear" w:color="auto" w:fill="FFFFFF"/>
        <w:jc w:val="both"/>
        <w:rPr>
          <w:rFonts w:ascii="PT Astra Serif" w:hAnsi="PT Astra Serif"/>
          <w:color w:val="000000"/>
          <w:spacing w:val="6"/>
          <w:sz w:val="22"/>
          <w:szCs w:val="22"/>
        </w:rPr>
      </w:pPr>
      <w:r>
        <w:rPr>
          <w:rFonts w:ascii="PT Astra Serif" w:hAnsi="PT Astra Serif"/>
          <w:sz w:val="22"/>
          <w:szCs w:val="22"/>
        </w:rPr>
        <w:t>4.1.1. Сдавать тревожную сигнализацию на «Объекте» под централизованное наблюдение в период времени, указанный в Перечне объектов (Приложение №1).</w:t>
      </w:r>
    </w:p>
    <w:p>
      <w:pPr>
        <w:pStyle w:val="Normal"/>
        <w:shd w:val="clear" w:color="auto" w:fill="FFFFFF"/>
        <w:jc w:val="both"/>
        <w:rPr>
          <w:rFonts w:ascii="PT Astra Serif" w:hAnsi="PT Astra Serif"/>
          <w:color w:val="000000"/>
          <w:spacing w:val="6"/>
          <w:sz w:val="22"/>
          <w:szCs w:val="22"/>
        </w:rPr>
      </w:pPr>
      <w:r>
        <w:rPr>
          <w:rFonts w:ascii="PT Astra Serif" w:hAnsi="PT Astra Serif"/>
          <w:sz w:val="22"/>
          <w:szCs w:val="22"/>
        </w:rPr>
        <w:t>4.1.2. Осуществлять экстренный вызов наряда вневедомственной охраны путем непосредственного (вручную) нажатия или иного воздействия на соответствующее устройство тревожной сигнализации для предупреждения и пресечения преступлений и административных правонарушений; защиты собственности; охраны общественного порядка.</w:t>
      </w:r>
    </w:p>
    <w:p>
      <w:pPr>
        <w:pStyle w:val="Normal"/>
        <w:shd w:val="clear" w:color="auto" w:fill="FFFFFF"/>
        <w:jc w:val="both"/>
        <w:rPr>
          <w:rFonts w:ascii="PT Astra Serif" w:hAnsi="PT Astra Serif"/>
          <w:color w:val="000000"/>
          <w:spacing w:val="6"/>
          <w:sz w:val="22"/>
          <w:szCs w:val="22"/>
        </w:rPr>
      </w:pPr>
      <w:r>
        <w:rPr>
          <w:rFonts w:ascii="PT Astra Serif" w:hAnsi="PT Astra Serif"/>
          <w:sz w:val="22"/>
          <w:szCs w:val="22"/>
        </w:rPr>
        <w:t xml:space="preserve">4.2. В случаях невозможности выполнения </w:t>
      </w:r>
      <w:r>
        <w:rPr>
          <w:rFonts w:ascii="PT Astra Serif" w:hAnsi="PT Astra Serif"/>
          <w:spacing w:val="-1"/>
          <w:sz w:val="22"/>
          <w:szCs w:val="22"/>
        </w:rPr>
        <w:t xml:space="preserve">«Исполнителем» </w:t>
      </w:r>
      <w:r>
        <w:rPr>
          <w:rFonts w:ascii="PT Astra Serif" w:hAnsi="PT Astra Serif"/>
          <w:sz w:val="22"/>
          <w:szCs w:val="22"/>
        </w:rPr>
        <w:t xml:space="preserve">обязанностей, принятых на себя по настоящему Договору, по независящим от него причинам: из-за неисправности тревожной сигнализации, телефонной или выделенной линии связи, отключении электроэнергии, а также в случаях нарушения «Заказчиком» обязанностей, предусмотренных в разделе 3 Договора, </w:t>
      </w:r>
      <w:r>
        <w:rPr>
          <w:rFonts w:ascii="PT Astra Serif" w:hAnsi="PT Astra Serif"/>
          <w:spacing w:val="-1"/>
          <w:sz w:val="22"/>
          <w:szCs w:val="22"/>
        </w:rPr>
        <w:t>«Исполнитель»</w:t>
      </w:r>
      <w:r>
        <w:rPr>
          <w:rFonts w:ascii="PT Astra Serif" w:hAnsi="PT Astra Serif"/>
          <w:sz w:val="22"/>
          <w:szCs w:val="22"/>
        </w:rPr>
        <w:t xml:space="preserve"> вправе не принимать тревожную сигнализацию на «Объекте» под централизованное наблюдение до устранения указанных причин, о чем «Заказчик» ставится в известность «Исполнителем» по телефону при проверке работоспособности тревожной сигнализации или в период централизованного наблюдения.</w:t>
      </w:r>
    </w:p>
    <w:p>
      <w:pPr>
        <w:pStyle w:val="Normal"/>
        <w:shd w:val="clear" w:color="auto" w:fill="FFFFFF"/>
        <w:jc w:val="both"/>
        <w:rPr>
          <w:rFonts w:ascii="PT Astra Serif" w:hAnsi="PT Astra Serif"/>
          <w:color w:val="000000"/>
          <w:spacing w:val="6"/>
          <w:sz w:val="22"/>
          <w:szCs w:val="22"/>
        </w:rPr>
      </w:pPr>
      <w:r>
        <w:rPr>
          <w:rFonts w:ascii="PT Astra Serif" w:hAnsi="PT Astra Serif"/>
          <w:color w:val="000000"/>
          <w:sz w:val="22"/>
          <w:szCs w:val="22"/>
        </w:rPr>
        <w:t xml:space="preserve">4.3. </w:t>
      </w:r>
      <w:r>
        <w:rPr>
          <w:rFonts w:ascii="PT Astra Serif" w:hAnsi="PT Astra Serif"/>
          <w:color w:val="000000"/>
          <w:spacing w:val="-5"/>
          <w:sz w:val="22"/>
          <w:szCs w:val="22"/>
        </w:rPr>
        <w:t xml:space="preserve">«Исполнитель» </w:t>
      </w:r>
      <w:r>
        <w:rPr>
          <w:rFonts w:ascii="PT Astra Serif" w:hAnsi="PT Astra Serif"/>
          <w:color w:val="000000"/>
          <w:sz w:val="22"/>
          <w:szCs w:val="22"/>
        </w:rPr>
        <w:t>вправе временно приостановить предоставление услуг по Договору или расторгнуть Договор, уведомив об этом «Заказчика» в срок не менее чем за 3 (Три) дня, в случаях:</w:t>
      </w:r>
    </w:p>
    <w:p>
      <w:pPr>
        <w:pStyle w:val="Normal"/>
        <w:jc w:val="both"/>
        <w:rPr>
          <w:rFonts w:ascii="PT Astra Serif" w:hAnsi="PT Astra Serif"/>
          <w:color w:val="000000"/>
          <w:sz w:val="22"/>
          <w:szCs w:val="22"/>
        </w:rPr>
      </w:pPr>
      <w:r>
        <w:rPr>
          <w:rFonts w:ascii="PT Astra Serif" w:hAnsi="PT Astra Serif"/>
          <w:color w:val="000000"/>
          <w:sz w:val="22"/>
          <w:szCs w:val="22"/>
        </w:rPr>
        <w:t>- возникновения спора о праве собственности и (или) управления имуществом, находящимся во владении «Заказчика» и включенном в Перечень объектов (Приложение №1), до момента разрешения спора в предусмотренном законом порядке;</w:t>
      </w:r>
    </w:p>
    <w:p>
      <w:pPr>
        <w:pStyle w:val="Normal"/>
        <w:jc w:val="both"/>
        <w:rPr>
          <w:rFonts w:ascii="PT Astra Serif" w:hAnsi="PT Astra Serif"/>
          <w:sz w:val="22"/>
          <w:szCs w:val="22"/>
        </w:rPr>
      </w:pPr>
      <w:r>
        <w:rPr>
          <w:rFonts w:ascii="PT Astra Serif" w:hAnsi="PT Astra Serif"/>
          <w:color w:val="000000"/>
          <w:sz w:val="22"/>
          <w:szCs w:val="22"/>
        </w:rPr>
        <w:t>- образования у «Заказчика» задолженности за услуги, предоставляемые по Договору, более чем за 1 (Один) месяц, до полного погашения образовавшейся задолженности.</w:t>
      </w:r>
    </w:p>
    <w:p>
      <w:pPr>
        <w:pStyle w:val="Normal"/>
        <w:jc w:val="both"/>
        <w:rPr>
          <w:rFonts w:ascii="PT Astra Serif" w:hAnsi="PT Astra Serif"/>
          <w:color w:val="000000"/>
          <w:spacing w:val="6"/>
          <w:sz w:val="22"/>
          <w:szCs w:val="22"/>
        </w:rPr>
      </w:pPr>
      <w:r>
        <w:rPr>
          <w:rFonts w:ascii="PT Astra Serif" w:hAnsi="PT Astra Serif"/>
          <w:color w:val="000000"/>
          <w:spacing w:val="6"/>
          <w:sz w:val="22"/>
          <w:szCs w:val="22"/>
        </w:rPr>
        <w:t xml:space="preserve">4.4. «Исполнитель» вправе рекомендовать </w:t>
      </w:r>
      <w:r>
        <w:rPr>
          <w:rFonts w:ascii="PT Astra Serif" w:hAnsi="PT Astra Serif"/>
          <w:color w:val="000000"/>
          <w:spacing w:val="1"/>
          <w:sz w:val="22"/>
          <w:szCs w:val="22"/>
        </w:rPr>
        <w:t>«Заказчику»</w:t>
      </w:r>
      <w:r>
        <w:rPr>
          <w:rFonts w:ascii="PT Astra Serif" w:hAnsi="PT Astra Serif"/>
          <w:color w:val="000000"/>
          <w:spacing w:val="6"/>
          <w:sz w:val="22"/>
          <w:szCs w:val="22"/>
        </w:rPr>
        <w:t xml:space="preserve"> проведение мероприятий, направленных на усиление охраны личности и его имущества.</w:t>
      </w:r>
    </w:p>
    <w:p>
      <w:pPr>
        <w:pStyle w:val="Normal"/>
        <w:jc w:val="center"/>
        <w:rPr>
          <w:rFonts w:ascii="PT Astra Serif" w:hAnsi="PT Astra Serif"/>
          <w:b/>
          <w:b/>
          <w:bCs/>
          <w:sz w:val="22"/>
          <w:szCs w:val="22"/>
        </w:rPr>
      </w:pPr>
      <w:r>
        <w:rPr>
          <w:rFonts w:ascii="PT Astra Serif" w:hAnsi="PT Astra Serif"/>
          <w:b/>
          <w:bCs/>
          <w:sz w:val="22"/>
          <w:szCs w:val="22"/>
        </w:rPr>
      </w:r>
    </w:p>
    <w:p>
      <w:pPr>
        <w:pStyle w:val="Normal"/>
        <w:jc w:val="center"/>
        <w:rPr>
          <w:rFonts w:ascii="PT Astra Serif" w:hAnsi="PT Astra Serif"/>
          <w:b/>
          <w:b/>
          <w:bCs/>
          <w:sz w:val="22"/>
          <w:szCs w:val="22"/>
        </w:rPr>
      </w:pPr>
      <w:r>
        <w:rPr>
          <w:rFonts w:ascii="PT Astra Serif" w:hAnsi="PT Astra Serif"/>
          <w:b/>
          <w:bCs/>
          <w:sz w:val="22"/>
          <w:szCs w:val="22"/>
        </w:rPr>
        <w:t>5. Ответственность сторон</w:t>
      </w:r>
    </w:p>
    <w:p>
      <w:pPr>
        <w:pStyle w:val="Normal"/>
        <w:shd w:val="clear" w:color="auto" w:fill="FFFFFF"/>
        <w:tabs>
          <w:tab w:val="clear" w:pos="709"/>
          <w:tab w:val="left" w:pos="1046" w:leader="none"/>
        </w:tabs>
        <w:jc w:val="both"/>
        <w:rPr>
          <w:rFonts w:ascii="PT Astra Serif" w:hAnsi="PT Astra Serif"/>
          <w:spacing w:val="-2"/>
          <w:sz w:val="22"/>
          <w:szCs w:val="22"/>
        </w:rPr>
      </w:pPr>
      <w:r>
        <w:rPr>
          <w:rFonts w:ascii="PT Astra Serif" w:hAnsi="PT Astra Serif"/>
          <w:color w:val="000000"/>
          <w:spacing w:val="6"/>
          <w:sz w:val="22"/>
          <w:szCs w:val="22"/>
        </w:rPr>
        <w:t>5.1. «Исполнитель» несет материальную ответственность за п</w:t>
      </w:r>
      <w:r>
        <w:rPr>
          <w:rFonts w:ascii="PT Astra Serif" w:hAnsi="PT Astra Serif"/>
          <w:spacing w:val="2"/>
          <w:sz w:val="22"/>
          <w:szCs w:val="22"/>
        </w:rPr>
        <w:t xml:space="preserve">рямой действительный </w:t>
      </w:r>
      <w:r>
        <w:rPr>
          <w:rFonts w:ascii="PT Astra Serif" w:hAnsi="PT Astra Serif"/>
          <w:spacing w:val="-2"/>
          <w:sz w:val="22"/>
          <w:szCs w:val="22"/>
        </w:rPr>
        <w:t xml:space="preserve">ущерб, возникший после поступления сигнала тревоги на ПЦН и причиненный «Заказчику» в результате </w:t>
      </w:r>
      <w:r>
        <w:rPr>
          <w:rFonts w:ascii="PT Astra Serif" w:hAnsi="PT Astra Serif"/>
          <w:spacing w:val="2"/>
          <w:sz w:val="22"/>
          <w:szCs w:val="22"/>
        </w:rPr>
        <w:t>виновного неприбытия наряда вневедомственной охраны</w:t>
      </w:r>
      <w:r>
        <w:rPr>
          <w:rFonts w:ascii="PT Astra Serif" w:hAnsi="PT Astra Serif"/>
          <w:spacing w:val="-2"/>
          <w:sz w:val="22"/>
          <w:szCs w:val="22"/>
        </w:rPr>
        <w:t>, но не свыше 0,3 - кратного размера стоимости услуг в месяц, оказываемых «Исполнителем» по настоящему Договору, согласно Перечню объектов (Приложение №1) в отношении конкретного объекта. В других случаях использования средств тревожной сигнализации «Заказчиком» «Исполнитель» не несет материальной ответственности.</w:t>
      </w:r>
    </w:p>
    <w:p>
      <w:pPr>
        <w:pStyle w:val="Normal"/>
        <w:shd w:val="clear" w:color="auto" w:fill="FFFFFF"/>
        <w:tabs>
          <w:tab w:val="clear" w:pos="709"/>
          <w:tab w:val="left" w:pos="1046" w:leader="none"/>
        </w:tabs>
        <w:jc w:val="both"/>
        <w:rPr>
          <w:rFonts w:ascii="PT Astra Serif" w:hAnsi="PT Astra Serif"/>
          <w:spacing w:val="-2"/>
          <w:sz w:val="22"/>
          <w:szCs w:val="22"/>
        </w:rPr>
      </w:pPr>
      <w:r>
        <w:rPr>
          <w:rFonts w:ascii="PT Astra Serif" w:hAnsi="PT Astra Serif"/>
          <w:color w:val="000000"/>
          <w:spacing w:val="6"/>
          <w:sz w:val="22"/>
          <w:szCs w:val="22"/>
        </w:rPr>
        <w:t>«Исполнитель» несет материальную ответственность за п</w:t>
      </w:r>
      <w:r>
        <w:rPr>
          <w:rFonts w:ascii="PT Astra Serif" w:hAnsi="PT Astra Serif"/>
          <w:spacing w:val="2"/>
          <w:sz w:val="22"/>
          <w:szCs w:val="22"/>
        </w:rPr>
        <w:t xml:space="preserve">рямой действительный </w:t>
      </w:r>
      <w:r>
        <w:rPr>
          <w:rFonts w:ascii="PT Astra Serif" w:hAnsi="PT Astra Serif"/>
          <w:spacing w:val="-2"/>
          <w:sz w:val="22"/>
          <w:szCs w:val="22"/>
        </w:rPr>
        <w:t xml:space="preserve">ущерб, причиненный «Заказчику» в результате </w:t>
      </w:r>
      <w:r>
        <w:rPr>
          <w:rFonts w:ascii="PT Astra Serif" w:hAnsi="PT Astra Serif"/>
          <w:spacing w:val="2"/>
          <w:sz w:val="22"/>
          <w:szCs w:val="22"/>
        </w:rPr>
        <w:t>виновного невыполнения или виновного ненадлежащего выполнения «Исполнителем» п.п. 2.1.-2.3. Договора</w:t>
      </w:r>
      <w:r>
        <w:rPr>
          <w:rFonts w:ascii="PT Astra Serif" w:hAnsi="PT Astra Serif"/>
          <w:spacing w:val="-2"/>
          <w:sz w:val="22"/>
          <w:szCs w:val="22"/>
        </w:rPr>
        <w:t>, но не свыше 0,3 - кратного размера стоимости услуг в месяц, оказываемых «Исполнителем», согласно Перечню объектов (Приложение №1), в отношении конкретного объекта.</w:t>
      </w:r>
    </w:p>
    <w:p>
      <w:pPr>
        <w:pStyle w:val="Normal"/>
        <w:shd w:val="clear" w:color="auto" w:fill="FFFFFF"/>
        <w:tabs>
          <w:tab w:val="clear" w:pos="709"/>
          <w:tab w:val="left" w:pos="1046" w:leader="none"/>
        </w:tabs>
        <w:jc w:val="both"/>
        <w:rPr>
          <w:rFonts w:ascii="PT Astra Serif" w:hAnsi="PT Astra Serif"/>
          <w:color w:val="000000"/>
          <w:spacing w:val="1"/>
          <w:sz w:val="22"/>
          <w:szCs w:val="22"/>
        </w:rPr>
      </w:pPr>
      <w:r>
        <w:rPr>
          <w:rFonts w:ascii="PT Astra Serif" w:hAnsi="PT Astra Serif"/>
          <w:color w:val="000000"/>
          <w:spacing w:val="1"/>
          <w:sz w:val="22"/>
          <w:szCs w:val="22"/>
        </w:rPr>
        <w:t xml:space="preserve">5.2. Возмещение «Заказчику» причиненного по вине «Исполнителя» ущерба производится на основании вступившего в законную силу решения суда. </w:t>
      </w:r>
    </w:p>
    <w:p>
      <w:pPr>
        <w:pStyle w:val="Normal"/>
        <w:jc w:val="both"/>
        <w:rPr>
          <w:rFonts w:ascii="PT Astra Serif" w:hAnsi="PT Astra Serif"/>
          <w:sz w:val="22"/>
          <w:szCs w:val="22"/>
        </w:rPr>
      </w:pPr>
      <w:r>
        <w:rPr>
          <w:rFonts w:ascii="PT Astra Serif" w:hAnsi="PT Astra Serif"/>
          <w:sz w:val="22"/>
          <w:szCs w:val="22"/>
        </w:rPr>
        <w:t xml:space="preserve">Размер ущерба определяется «Заказчиком» по результатам проведения инвентаризации (проверки, ревизии) </w:t>
      </w:r>
      <w:r>
        <w:rPr>
          <w:rFonts w:ascii="PT Astra Serif" w:hAnsi="PT Astra Serif"/>
          <w:color w:val="000000"/>
          <w:spacing w:val="-1"/>
          <w:sz w:val="22"/>
          <w:szCs w:val="22"/>
        </w:rPr>
        <w:t>и снятия остатков товарно-материальных ценностей в соответствии с данными бухгалтерского учета и предоставлением бухгалтерских документов на день происшествия</w:t>
      </w:r>
      <w:r>
        <w:rPr>
          <w:rFonts w:ascii="PT Astra Serif" w:hAnsi="PT Astra Serif"/>
          <w:sz w:val="22"/>
          <w:szCs w:val="22"/>
        </w:rPr>
        <w:t>, проведенными в кратчайшие сроки после обнаружения ущерба в присутствии уполномоченного представителя «Исполнителя», и подтверждается соответствующим актом, подписанным представителями «Сторон».</w:t>
      </w:r>
      <w:r>
        <w:rPr>
          <w:rFonts w:ascii="PT Astra Serif" w:hAnsi="PT Astra Serif"/>
          <w:color w:val="000000"/>
          <w:spacing w:val="-1"/>
          <w:sz w:val="22"/>
          <w:szCs w:val="22"/>
        </w:rPr>
        <w:t xml:space="preserve"> Инвентаризация проводится в порядке, установленном Министерством финансов РФ.</w:t>
      </w:r>
    </w:p>
    <w:p>
      <w:pPr>
        <w:pStyle w:val="Normal"/>
        <w:shd w:val="clear" w:color="auto" w:fill="FFFFFF"/>
        <w:jc w:val="both"/>
        <w:rPr>
          <w:rFonts w:ascii="PT Astra Serif" w:hAnsi="PT Astra Serif"/>
          <w:color w:val="000000"/>
          <w:spacing w:val="1"/>
          <w:sz w:val="22"/>
          <w:szCs w:val="22"/>
        </w:rPr>
      </w:pPr>
      <w:r>
        <w:rPr>
          <w:rFonts w:ascii="PT Astra Serif" w:hAnsi="PT Astra Serif"/>
          <w:color w:val="000000"/>
          <w:spacing w:val="1"/>
          <w:sz w:val="22"/>
          <w:szCs w:val="22"/>
        </w:rPr>
        <w:t>5.3. В случае установления виновных лиц имущественный ущерб взыскивается с них «Заказчиком» в гражданском порядке.</w:t>
      </w:r>
    </w:p>
    <w:p>
      <w:pPr>
        <w:pStyle w:val="Normal"/>
        <w:shd w:val="clear" w:color="auto" w:fill="FFFFFF"/>
        <w:jc w:val="both"/>
        <w:rPr>
          <w:rFonts w:ascii="PT Astra Serif" w:hAnsi="PT Astra Serif"/>
          <w:color w:val="000000"/>
          <w:spacing w:val="1"/>
          <w:sz w:val="22"/>
          <w:szCs w:val="22"/>
        </w:rPr>
      </w:pPr>
      <w:r>
        <w:rPr>
          <w:rFonts w:ascii="PT Astra Serif" w:hAnsi="PT Astra Serif"/>
          <w:sz w:val="22"/>
          <w:szCs w:val="22"/>
        </w:rPr>
        <w:t xml:space="preserve">5.4. В случае подачи ложного сигнала «Тревога» по вине «Заказчика» </w:t>
      </w:r>
      <w:r>
        <w:rPr>
          <w:rFonts w:ascii="PT Astra Serif" w:hAnsi="PT Astra Serif"/>
          <w:spacing w:val="2"/>
          <w:sz w:val="22"/>
          <w:szCs w:val="22"/>
        </w:rPr>
        <w:t>«Исполнитель»</w:t>
      </w:r>
      <w:r>
        <w:rPr>
          <w:rFonts w:ascii="PT Astra Serif" w:hAnsi="PT Astra Serif"/>
          <w:sz w:val="22"/>
          <w:szCs w:val="22"/>
        </w:rPr>
        <w:t xml:space="preserve"> вправе предъявить «Заказчику» требование по оплате дополнительных расходов «Исполнителя» по выезду </w:t>
      </w:r>
      <w:r>
        <w:rPr>
          <w:rFonts w:ascii="PT Astra Serif" w:hAnsi="PT Astra Serif"/>
          <w:spacing w:val="2"/>
          <w:sz w:val="22"/>
          <w:szCs w:val="22"/>
        </w:rPr>
        <w:t>наряда вневедомственной охраны</w:t>
      </w:r>
      <w:r>
        <w:rPr>
          <w:rFonts w:ascii="PT Astra Serif" w:hAnsi="PT Astra Serif"/>
          <w:sz w:val="22"/>
          <w:szCs w:val="22"/>
        </w:rPr>
        <w:t xml:space="preserve"> в размере фактических затрат «Исполнителя» на содержание парного наряда вневедомственной охраны с 1 (Одной) единицей автотранспорта.</w:t>
      </w:r>
    </w:p>
    <w:p>
      <w:pPr>
        <w:pStyle w:val="Normal"/>
        <w:shd w:val="clear" w:color="auto" w:fill="FFFFFF"/>
        <w:jc w:val="both"/>
        <w:rPr>
          <w:rFonts w:ascii="PT Astra Serif" w:hAnsi="PT Astra Serif"/>
          <w:color w:val="000000"/>
          <w:spacing w:val="6"/>
          <w:sz w:val="22"/>
          <w:szCs w:val="22"/>
        </w:rPr>
      </w:pPr>
      <w:r>
        <w:rPr>
          <w:rFonts w:ascii="PT Astra Serif" w:hAnsi="PT Astra Serif"/>
          <w:sz w:val="22"/>
          <w:szCs w:val="22"/>
        </w:rPr>
        <w:t>Ложным сигналом «Тревога» в смысле Договора считается сигнал «Тревога», не вызванный необходимостью экстренного прибытия наряда вневедомственной охраны «Исполнителя», т.е. не связанный с необходимостью предупреждения и пресечения преступлений и административных правонарушений; защиты собственности; охраны общественного порядка.</w:t>
      </w:r>
    </w:p>
    <w:p>
      <w:pPr>
        <w:pStyle w:val="Normal"/>
        <w:jc w:val="both"/>
        <w:rPr>
          <w:rFonts w:ascii="PT Astra Serif" w:hAnsi="PT Astra Serif"/>
          <w:sz w:val="22"/>
          <w:szCs w:val="22"/>
        </w:rPr>
      </w:pPr>
      <w:r>
        <w:rPr>
          <w:rFonts w:ascii="PT Astra Serif" w:hAnsi="PT Astra Serif"/>
          <w:sz w:val="22"/>
          <w:szCs w:val="22"/>
        </w:rPr>
        <w:t>5.5. При неуплате «Заказчиком» в установленные Договором сроки сумм за услуги, предоставляемые «Исполнителем», начисляется пеня в размере 0,1 % с просроченной суммы за каждый день просрочки.</w:t>
      </w:r>
    </w:p>
    <w:p>
      <w:pPr>
        <w:pStyle w:val="Normal"/>
        <w:jc w:val="both"/>
        <w:rPr>
          <w:rFonts w:ascii="PT Astra Serif" w:hAnsi="PT Astra Serif"/>
          <w:sz w:val="22"/>
          <w:szCs w:val="22"/>
        </w:rPr>
      </w:pPr>
      <w:r>
        <w:rPr>
          <w:rFonts w:ascii="PT Astra Serif" w:hAnsi="PT Astra Serif"/>
          <w:sz w:val="22"/>
          <w:szCs w:val="22"/>
        </w:rPr>
        <w:t xml:space="preserve">5.6. «Исполнитель» освобождается </w:t>
      </w:r>
      <w:r>
        <w:rPr>
          <w:rFonts w:ascii="PT Astra Serif" w:hAnsi="PT Astra Serif"/>
          <w:color w:val="000000"/>
          <w:spacing w:val="6"/>
          <w:sz w:val="22"/>
          <w:szCs w:val="22"/>
        </w:rPr>
        <w:t xml:space="preserve">от выполнения обязательств по Договору и (или) </w:t>
      </w:r>
      <w:r>
        <w:rPr>
          <w:rFonts w:ascii="PT Astra Serif" w:hAnsi="PT Astra Serif"/>
          <w:sz w:val="22"/>
          <w:szCs w:val="22"/>
        </w:rPr>
        <w:t>от ответственности за ущерб, причиненный в случаях:</w:t>
      </w:r>
    </w:p>
    <w:p>
      <w:pPr>
        <w:pStyle w:val="Normal"/>
        <w:jc w:val="both"/>
        <w:rPr>
          <w:rFonts w:ascii="PT Astra Serif" w:hAnsi="PT Astra Serif"/>
          <w:sz w:val="22"/>
          <w:szCs w:val="22"/>
        </w:rPr>
      </w:pPr>
      <w:r>
        <w:rPr>
          <w:rFonts w:ascii="PT Astra Serif" w:hAnsi="PT Astra Serif"/>
          <w:sz w:val="22"/>
          <w:szCs w:val="22"/>
        </w:rPr>
        <w:t>5.6.1. Когда оказание услуг в соответствии с условиями Договора приостановлено.</w:t>
      </w:r>
    </w:p>
    <w:p>
      <w:pPr>
        <w:pStyle w:val="NoSpacing"/>
        <w:jc w:val="both"/>
        <w:rPr>
          <w:rFonts w:ascii="PT Astra Serif" w:hAnsi="PT Astra Serif" w:cs="Times New Roman"/>
        </w:rPr>
      </w:pPr>
      <w:r>
        <w:rPr>
          <w:rFonts w:cs="Times New Roman" w:ascii="PT Astra Serif" w:hAnsi="PT Astra Serif"/>
        </w:rPr>
        <w:t>5.6.2. Если сигнал «Тревога» был подан «Заказчиком» после ухода правонарушителя(ей) и (или) причинения ущерба.</w:t>
      </w:r>
    </w:p>
    <w:p>
      <w:pPr>
        <w:pStyle w:val="NoSpacing"/>
        <w:jc w:val="both"/>
        <w:rPr>
          <w:rFonts w:ascii="PT Astra Serif" w:hAnsi="PT Astra Serif" w:cs="Times New Roman"/>
        </w:rPr>
      </w:pPr>
      <w:r>
        <w:rPr>
          <w:rFonts w:cs="Times New Roman" w:ascii="PT Astra Serif" w:hAnsi="PT Astra Serif"/>
        </w:rPr>
        <w:t>5.6.3. Если ущерб причинен в период, когда централизованное наблюдение за состоянием тревожной сигнализации на «Объекте» временно не могло осуществляться по техническим причинам, от «Исполнителя» независящим (неисправность тревожной сигнализации, отключение телефона, электроэнергии, неисправность телефонной линии и т.п.).</w:t>
      </w:r>
    </w:p>
    <w:p>
      <w:pPr>
        <w:pStyle w:val="NoSpacing"/>
        <w:jc w:val="both"/>
        <w:rPr>
          <w:rFonts w:ascii="PT Astra Serif" w:hAnsi="PT Astra Serif" w:cs="Times New Roman"/>
        </w:rPr>
      </w:pPr>
      <w:r>
        <w:rPr>
          <w:rFonts w:cs="Times New Roman" w:ascii="PT Astra Serif" w:hAnsi="PT Astra Serif"/>
        </w:rPr>
        <w:t>5.6.4. Правонарушители задержаны сотрудниками вневедомственной охраны.</w:t>
      </w:r>
    </w:p>
    <w:p>
      <w:pPr>
        <w:pStyle w:val="NoSpacing"/>
        <w:jc w:val="both"/>
        <w:rPr>
          <w:rFonts w:ascii="PT Astra Serif" w:hAnsi="PT Astra Serif" w:cs="Times New Roman"/>
          <w:color w:val="000000"/>
        </w:rPr>
      </w:pPr>
      <w:r>
        <w:rPr>
          <w:rFonts w:cs="Times New Roman" w:ascii="PT Astra Serif" w:hAnsi="PT Astra Serif"/>
        </w:rPr>
        <w:t>5.6.5. Уще</w:t>
      </w:r>
      <w:r>
        <w:rPr>
          <w:rFonts w:cs="Times New Roman" w:ascii="PT Astra Serif" w:hAnsi="PT Astra Serif"/>
          <w:color w:val="000000"/>
        </w:rPr>
        <w:t>рб причинен в результате кражи, грабежа, разбойного нападения, пожара (поджога), взрыва, мошенничества.</w:t>
      </w:r>
    </w:p>
    <w:p>
      <w:pPr>
        <w:pStyle w:val="NoSpacing"/>
        <w:jc w:val="both"/>
        <w:rPr>
          <w:rFonts w:ascii="PT Astra Serif" w:hAnsi="PT Astra Serif" w:cs="Times New Roman"/>
          <w:color w:val="000000"/>
        </w:rPr>
      </w:pPr>
      <w:r>
        <w:rPr>
          <w:rFonts w:cs="Times New Roman" w:ascii="PT Astra Serif" w:hAnsi="PT Astra Serif"/>
          <w:color w:val="000000"/>
        </w:rPr>
        <w:t>5.6.6. Если невыполнение «Заказчиком» своих обязанностей, предусмотренных Договором, послужило причиной или способствовало причинению ущерба.</w:t>
      </w:r>
    </w:p>
    <w:p>
      <w:pPr>
        <w:pStyle w:val="NoSpacing"/>
        <w:jc w:val="both"/>
        <w:rPr>
          <w:rFonts w:ascii="PT Astra Serif" w:hAnsi="PT Astra Serif" w:cs="Times New Roman"/>
          <w:color w:val="000000"/>
        </w:rPr>
      </w:pPr>
      <w:r>
        <w:rPr>
          <w:rFonts w:cs="Times New Roman" w:ascii="PT Astra Serif" w:hAnsi="PT Astra Serif"/>
          <w:color w:val="000000"/>
        </w:rPr>
        <w:t>5.6.7. Возникновения форс-мажорных обстоятельств и в других случаях, когда «Исполнитель» докажет отсутствие своей вины.</w:t>
      </w:r>
    </w:p>
    <w:p>
      <w:pPr>
        <w:pStyle w:val="NoSpacing"/>
        <w:jc w:val="both"/>
        <w:rPr>
          <w:rFonts w:ascii="PT Astra Serif" w:hAnsi="PT Astra Serif" w:cs="Times New Roman"/>
        </w:rPr>
      </w:pPr>
      <w:r>
        <w:rPr>
          <w:rFonts w:cs="Times New Roman" w:ascii="PT Astra Serif" w:hAnsi="PT Astra Serif"/>
          <w:color w:val="000000"/>
        </w:rPr>
        <w:t>5.6.8. Не поступления сигнала тревоги с «Объекта» на ПЦН по причине неисправности тревожной сигнализации на «Объекте».</w:t>
      </w:r>
      <w:r>
        <w:rPr>
          <w:rFonts w:cs="Times New Roman" w:ascii="PT Astra Serif" w:hAnsi="PT Astra Serif"/>
        </w:rPr>
        <w:t xml:space="preserve"> Ответственность по возмещению ущерба, нанесенного «Заказчику» по причине неисправности комплекса технических средств сигнализации (далее – ТСС), несет организация, осуществляющая техническое обслуживание комплекса ТСС.</w:t>
      </w:r>
    </w:p>
    <w:p>
      <w:pPr>
        <w:pStyle w:val="NoSpacing"/>
        <w:jc w:val="both"/>
        <w:rPr>
          <w:rFonts w:ascii="PT Astra Serif" w:hAnsi="PT Astra Serif" w:cs="Times New Roman"/>
          <w:color w:val="000000"/>
        </w:rPr>
      </w:pPr>
      <w:r>
        <w:rPr>
          <w:rFonts w:cs="Times New Roman" w:ascii="PT Astra Serif" w:hAnsi="PT Astra Serif"/>
          <w:color w:val="000000"/>
        </w:rPr>
        <w:t>5.6.9. Не поступил сигнал тревоги с «Объекта», подключенного на ПЦН по радиоканалу, в связи с не прохождением радиосигнала по независящей от «Исполнителя» причине.</w:t>
      </w:r>
    </w:p>
    <w:p>
      <w:pPr>
        <w:pStyle w:val="NoSpacing"/>
        <w:jc w:val="both"/>
        <w:rPr>
          <w:rFonts w:ascii="PT Astra Serif" w:hAnsi="PT Astra Serif" w:cs="Times New Roman"/>
          <w:color w:val="000000"/>
        </w:rPr>
      </w:pPr>
      <w:r>
        <w:rPr>
          <w:rFonts w:cs="Times New Roman" w:ascii="PT Astra Serif" w:hAnsi="PT Astra Serif"/>
          <w:color w:val="000000"/>
        </w:rPr>
        <w:t>5.6.10. Не поступил сигнал тревоги с «Объекта», подключенного на ПЦН по телефонной линии, в связи с неисправностью телефонной линии.</w:t>
      </w:r>
    </w:p>
    <w:p>
      <w:pPr>
        <w:pStyle w:val="NoSpacing"/>
        <w:jc w:val="both"/>
        <w:rPr>
          <w:rFonts w:ascii="PT Astra Serif" w:hAnsi="PT Astra Serif" w:cs="Times New Roman"/>
        </w:rPr>
      </w:pPr>
      <w:r>
        <w:rPr>
          <w:rFonts w:cs="Times New Roman" w:ascii="PT Astra Serif" w:hAnsi="PT Astra Serif"/>
        </w:rPr>
        <w:t>5.6.11. Причинения ущерба в результате неисправности тревожной сигнализации или отсутствия договора на техническое эксплуатационное обслуживание и ремонт средств сигнализации на «Объекте» с обслуживающей организацией по отдельному договору.</w:t>
      </w:r>
    </w:p>
    <w:p>
      <w:pPr>
        <w:pStyle w:val="Normal"/>
        <w:jc w:val="both"/>
        <w:rPr>
          <w:rFonts w:ascii="PT Astra Serif" w:hAnsi="PT Astra Serif"/>
          <w:sz w:val="22"/>
          <w:szCs w:val="22"/>
        </w:rPr>
      </w:pPr>
      <w:r>
        <w:rPr>
          <w:rFonts w:ascii="PT Astra Serif" w:hAnsi="PT Astra Serif"/>
          <w:sz w:val="22"/>
          <w:szCs w:val="22"/>
        </w:rPr>
        <w:t>5.6.12. Когда тревожная сигнализация на «Объекте» не была сдана под наблюдение ПЦН.</w:t>
      </w:r>
    </w:p>
    <w:p>
      <w:pPr>
        <w:pStyle w:val="Normal"/>
        <w:jc w:val="both"/>
        <w:rPr>
          <w:rFonts w:ascii="PT Astra Serif" w:hAnsi="PT Astra Serif"/>
          <w:sz w:val="22"/>
          <w:szCs w:val="22"/>
        </w:rPr>
      </w:pPr>
      <w:r>
        <w:rPr>
          <w:rFonts w:ascii="PT Astra Serif" w:hAnsi="PT Astra Serif"/>
          <w:sz w:val="22"/>
          <w:szCs w:val="22"/>
        </w:rPr>
        <w:t>5.6.13. За ущерб, причиненный в результате хищения, уничтожения или повреждения имущества, не принадлежащего «Заказчику», в том числе имущества работников «Заказчика», арендаторов и других лиц, пользующихся помещениями на Объекте.</w:t>
      </w:r>
    </w:p>
    <w:p>
      <w:pPr>
        <w:pStyle w:val="Normal"/>
        <w:jc w:val="both"/>
        <w:rPr>
          <w:rFonts w:ascii="PT Astra Serif" w:hAnsi="PT Astra Serif"/>
          <w:sz w:val="22"/>
          <w:szCs w:val="22"/>
        </w:rPr>
      </w:pPr>
      <w:r>
        <w:rPr>
          <w:rFonts w:ascii="PT Astra Serif" w:hAnsi="PT Astra Serif"/>
          <w:sz w:val="22"/>
          <w:szCs w:val="22"/>
        </w:rPr>
        <w:t>5.6.14. «Заказчиком» нарушен порядок определения размера ущерба, установленный п. 5.2. Договора.</w:t>
      </w:r>
    </w:p>
    <w:p>
      <w:pPr>
        <w:pStyle w:val="Normal"/>
        <w:jc w:val="both"/>
        <w:rPr>
          <w:rFonts w:ascii="PT Astra Serif" w:hAnsi="PT Astra Serif"/>
          <w:spacing w:val="-3"/>
          <w:sz w:val="22"/>
          <w:szCs w:val="22"/>
        </w:rPr>
      </w:pPr>
      <w:r>
        <w:rPr>
          <w:rFonts w:ascii="PT Astra Serif" w:hAnsi="PT Astra Serif"/>
          <w:color w:val="000000"/>
          <w:sz w:val="22"/>
          <w:szCs w:val="22"/>
        </w:rPr>
        <w:t xml:space="preserve">5.7. «Исполнитель» не несет </w:t>
      </w:r>
      <w:r>
        <w:rPr>
          <w:rFonts w:ascii="PT Astra Serif" w:hAnsi="PT Astra Serif"/>
          <w:sz w:val="22"/>
          <w:szCs w:val="22"/>
        </w:rPr>
        <w:t xml:space="preserve">материальной и (или) имущественной </w:t>
      </w:r>
      <w:r>
        <w:rPr>
          <w:rFonts w:ascii="PT Astra Serif" w:hAnsi="PT Astra Serif"/>
          <w:color w:val="000000"/>
          <w:sz w:val="22"/>
          <w:szCs w:val="22"/>
        </w:rPr>
        <w:t>ответственности за жизнь и здоровье «Заказчика»</w:t>
      </w:r>
      <w:r>
        <w:rPr>
          <w:rFonts w:ascii="PT Astra Serif" w:hAnsi="PT Astra Serif"/>
          <w:spacing w:val="-3"/>
          <w:sz w:val="22"/>
          <w:szCs w:val="22"/>
        </w:rPr>
        <w:t xml:space="preserve"> и (или) его сотрудников</w:t>
      </w:r>
      <w:r>
        <w:rPr>
          <w:rFonts w:ascii="PT Astra Serif" w:hAnsi="PT Astra Serif"/>
          <w:sz w:val="22"/>
          <w:szCs w:val="22"/>
        </w:rPr>
        <w:t xml:space="preserve">, а также за ущерб, причиненный «Заказчику» правомерными действиями </w:t>
      </w:r>
      <w:r>
        <w:rPr>
          <w:rFonts w:ascii="PT Astra Serif" w:hAnsi="PT Astra Serif"/>
          <w:spacing w:val="2"/>
          <w:sz w:val="22"/>
          <w:szCs w:val="22"/>
        </w:rPr>
        <w:t>наряда вневедомственной охраны</w:t>
      </w:r>
      <w:r>
        <w:rPr>
          <w:rFonts w:ascii="PT Astra Serif" w:hAnsi="PT Astra Serif"/>
          <w:sz w:val="22"/>
          <w:szCs w:val="22"/>
        </w:rPr>
        <w:t xml:space="preserve"> при пресечении преступлений и других правонарушений.</w:t>
      </w:r>
    </w:p>
    <w:p>
      <w:pPr>
        <w:pStyle w:val="NoSpacing"/>
        <w:jc w:val="both"/>
        <w:rPr>
          <w:rFonts w:ascii="PT Astra Serif" w:hAnsi="PT Astra Serif" w:cs="Times New Roman"/>
          <w:color w:val="000000"/>
        </w:rPr>
      </w:pPr>
      <w:r>
        <w:rPr>
          <w:rFonts w:cs="Times New Roman" w:ascii="PT Astra Serif" w:hAnsi="PT Astra Serif"/>
          <w:color w:val="000000"/>
        </w:rPr>
        <w:t>5.8. «Исполнитель» не несет ответственности за нарушение целостности «Объекта» при проникновении или попытке проникновения на него посторонних лиц.</w:t>
      </w:r>
    </w:p>
    <w:p>
      <w:pPr>
        <w:pStyle w:val="NoSpacing"/>
        <w:jc w:val="both"/>
        <w:rPr>
          <w:rFonts w:ascii="PT Astra Serif" w:hAnsi="PT Astra Serif" w:cs="Times New Roman"/>
          <w:color w:val="000000"/>
        </w:rPr>
      </w:pPr>
      <w:r>
        <w:rPr>
          <w:rFonts w:cs="Times New Roman" w:ascii="PT Astra Serif" w:hAnsi="PT Astra Serif"/>
          <w:color w:val="000000"/>
        </w:rPr>
        <w:t>5.9. «Заказчик» несет ответственность в соответствии с условиями Договора, в том числе за действия его доверенных лиц.</w:t>
      </w:r>
    </w:p>
    <w:p>
      <w:pPr>
        <w:pStyle w:val="NoSpacing"/>
        <w:jc w:val="both"/>
        <w:rPr>
          <w:rFonts w:ascii="PT Astra Serif" w:hAnsi="PT Astra Serif" w:cs="Times New Roman"/>
        </w:rPr>
      </w:pPr>
      <w:r>
        <w:rPr>
          <w:rFonts w:cs="Times New Roman" w:ascii="PT Astra Serif" w:hAnsi="PT Astra Serif"/>
        </w:rPr>
        <w:t>5.10. Ответственность за исправность технических средств сигнализации, установленных на «Объекте», несет «Заказчик».</w:t>
      </w:r>
    </w:p>
    <w:p>
      <w:pPr>
        <w:pStyle w:val="NoSpacing"/>
        <w:jc w:val="both"/>
        <w:rPr>
          <w:rFonts w:ascii="PT Astra Serif" w:hAnsi="PT Astra Serif" w:cs="Times New Roman"/>
        </w:rPr>
      </w:pPr>
      <w:r>
        <w:rPr>
          <w:rFonts w:cs="Times New Roman" w:ascii="PT Astra Serif" w:hAnsi="PT Astra Serif"/>
        </w:rPr>
        <w:t>5.11. В случае изменения учредительных документов, банковских реквизитов, юридических адресов, руководителей «Сторона», у которой происходят такие изменения, обязана известить другую «Сторону» в течение 10 (Десяти) дней с момента изменений.</w:t>
      </w:r>
    </w:p>
    <w:p>
      <w:pPr>
        <w:pStyle w:val="Normal"/>
        <w:shd w:val="clear" w:color="auto" w:fill="FFFFFF"/>
        <w:ind w:firstLine="709"/>
        <w:rPr>
          <w:rFonts w:ascii="PT Astra Serif" w:hAnsi="PT Astra Serif"/>
          <w:b/>
          <w:b/>
          <w:bCs/>
          <w:color w:val="000000"/>
          <w:spacing w:val="6"/>
          <w:sz w:val="22"/>
          <w:szCs w:val="22"/>
        </w:rPr>
      </w:pPr>
      <w:r>
        <w:rPr>
          <w:rFonts w:ascii="PT Astra Serif" w:hAnsi="PT Astra Serif"/>
          <w:b/>
          <w:bCs/>
          <w:color w:val="000000"/>
          <w:spacing w:val="6"/>
          <w:sz w:val="22"/>
          <w:szCs w:val="22"/>
        </w:rPr>
      </w:r>
    </w:p>
    <w:p>
      <w:pPr>
        <w:pStyle w:val="Normal"/>
        <w:shd w:val="clear" w:color="auto" w:fill="FFFFFF"/>
        <w:jc w:val="center"/>
        <w:rPr>
          <w:rFonts w:ascii="PT Astra Serif" w:hAnsi="PT Astra Serif"/>
          <w:color w:val="000000"/>
          <w:spacing w:val="6"/>
          <w:sz w:val="22"/>
          <w:szCs w:val="22"/>
        </w:rPr>
      </w:pPr>
      <w:r>
        <w:rPr>
          <w:rFonts w:ascii="PT Astra Serif" w:hAnsi="PT Astra Serif"/>
          <w:b/>
          <w:bCs/>
          <w:color w:val="000000"/>
          <w:spacing w:val="6"/>
          <w:sz w:val="22"/>
          <w:szCs w:val="22"/>
        </w:rPr>
        <w:t>6. Стоимость услуг и условия расчета</w:t>
      </w:r>
    </w:p>
    <w:p>
      <w:pPr>
        <w:pStyle w:val="Normal"/>
        <w:jc w:val="both"/>
        <w:rPr>
          <w:rFonts w:ascii="PT Astra Serif" w:hAnsi="PT Astra Serif"/>
          <w:b/>
          <w:b/>
          <w:bCs/>
          <w:spacing w:val="-2"/>
          <w:sz w:val="22"/>
          <w:szCs w:val="22"/>
        </w:rPr>
      </w:pPr>
      <w:r>
        <w:rPr>
          <w:rFonts w:ascii="PT Astra Serif" w:hAnsi="PT Astra Serif"/>
          <w:color w:val="000000"/>
          <w:spacing w:val="6"/>
          <w:sz w:val="22"/>
          <w:szCs w:val="22"/>
        </w:rPr>
        <w:t>6.1. Стоимость услуг «Исполнителя» в месяц определяется согласно прилагаемому к Договору Перечню объектов (Приложение №1). Стоимость услуг «Исполнителя» не облагается НДС.</w:t>
      </w:r>
    </w:p>
    <w:p>
      <w:pPr>
        <w:pStyle w:val="Normal"/>
        <w:shd w:val="clear" w:color="auto" w:fill="FFFFFF"/>
        <w:jc w:val="both"/>
        <w:rPr>
          <w:rFonts w:ascii="PT Astra Serif" w:hAnsi="PT Astra Serif"/>
          <w:color w:val="000000"/>
          <w:spacing w:val="6"/>
          <w:sz w:val="22"/>
          <w:szCs w:val="22"/>
        </w:rPr>
      </w:pPr>
      <w:r>
        <w:rPr>
          <w:rFonts w:ascii="PT Astra Serif" w:hAnsi="PT Astra Serif"/>
          <w:spacing w:val="12"/>
          <w:sz w:val="22"/>
          <w:szCs w:val="22"/>
        </w:rPr>
        <w:t xml:space="preserve">6.2. </w:t>
      </w:r>
      <w:r>
        <w:rPr>
          <w:rFonts w:ascii="PT Astra Serif" w:hAnsi="PT Astra Serif"/>
          <w:sz w:val="22"/>
          <w:szCs w:val="22"/>
        </w:rPr>
        <w:t>Оплата услуг, оказываемых «Исполнителем», производится «Заказчиком» ежемесячно, путем перечисления указанных в Перечне объектов (Приложение №1) денежных сумм на расчетный счет «Исполнителя» в течение 7 рабочих дней с даты подписания Сторонами Акта оказанных услуг.   Фактом оплаты услуг является зачисление денежных средств «Заказчика» на расчетный счет «Исполнителя».</w:t>
      </w:r>
    </w:p>
    <w:p>
      <w:pPr>
        <w:pStyle w:val="Normal"/>
        <w:shd w:val="clear" w:color="auto" w:fill="FFFFFF"/>
        <w:jc w:val="both"/>
        <w:rPr>
          <w:rFonts w:ascii="PT Astra Serif" w:hAnsi="PT Astra Serif"/>
          <w:color w:val="000000"/>
          <w:spacing w:val="6"/>
          <w:sz w:val="22"/>
          <w:szCs w:val="22"/>
        </w:rPr>
      </w:pPr>
      <w:r>
        <w:rPr>
          <w:rFonts w:ascii="PT Astra Serif" w:hAnsi="PT Astra Serif"/>
          <w:spacing w:val="-11"/>
          <w:sz w:val="22"/>
          <w:szCs w:val="22"/>
        </w:rPr>
        <w:t xml:space="preserve">6.3. </w:t>
      </w:r>
      <w:r>
        <w:rPr>
          <w:rFonts w:ascii="PT Astra Serif" w:hAnsi="PT Astra Serif"/>
          <w:sz w:val="22"/>
          <w:szCs w:val="22"/>
        </w:rPr>
        <w:t>При изменении действующих тарифов «Исполнителя» стоимость услуг по Договору может быть пересмотрена с письменным уведомлением «Заказчика» не менее чем за 20 (Двадцать) дней до введения новых тарифов.</w:t>
      </w:r>
    </w:p>
    <w:p>
      <w:pPr>
        <w:pStyle w:val="Normal"/>
        <w:ind w:firstLine="709"/>
        <w:jc w:val="both"/>
        <w:rPr>
          <w:rFonts w:ascii="PT Astra Serif" w:hAnsi="PT Astra Serif"/>
          <w:spacing w:val="3"/>
          <w:sz w:val="22"/>
          <w:szCs w:val="22"/>
        </w:rPr>
      </w:pPr>
      <w:r>
        <w:rPr>
          <w:rFonts w:ascii="PT Astra Serif" w:hAnsi="PT Astra Serif"/>
          <w:sz w:val="22"/>
          <w:szCs w:val="22"/>
        </w:rPr>
        <w:t xml:space="preserve">При несогласии </w:t>
      </w:r>
      <w:r>
        <w:rPr>
          <w:rFonts w:ascii="PT Astra Serif" w:hAnsi="PT Astra Serif"/>
          <w:spacing w:val="-6"/>
          <w:sz w:val="22"/>
          <w:szCs w:val="22"/>
        </w:rPr>
        <w:t xml:space="preserve">«Заказчика» </w:t>
      </w:r>
      <w:r>
        <w:rPr>
          <w:rFonts w:ascii="PT Astra Serif" w:hAnsi="PT Astra Serif"/>
          <w:sz w:val="22"/>
          <w:szCs w:val="22"/>
        </w:rPr>
        <w:t>с изменением тарифов за услуги «Исполнителя» он письменно ставит об этом в известность «Исполнителя» в течение 10 (Десяти) дней с момента получения уведомления об изменении тарифов. В случае получения уведомления о несогласии с изменением тарифов Договор считается расторгнутым с момента изменения тарифов.</w:t>
      </w:r>
    </w:p>
    <w:p>
      <w:pPr>
        <w:pStyle w:val="Normal"/>
        <w:ind w:firstLine="709"/>
        <w:jc w:val="both"/>
        <w:rPr>
          <w:rFonts w:ascii="PT Astra Serif" w:hAnsi="PT Astra Serif"/>
          <w:sz w:val="22"/>
          <w:szCs w:val="22"/>
        </w:rPr>
      </w:pPr>
      <w:r>
        <w:rPr>
          <w:rFonts w:ascii="PT Astra Serif" w:hAnsi="PT Astra Serif"/>
          <w:sz w:val="22"/>
          <w:szCs w:val="22"/>
        </w:rPr>
        <w:t>Если по истечении 10 (Десяти) календарных дней с момента письменного уведомления «Заказчика» об изменении тарифов «Заказчик» не выразил письменное несогласие с изменением тарифов и продолжает пользоваться услугами, предоставляемыми «Исполнителем» в соответствии с Договором, то новый тариф автоматически считается принятым «Заказчиком».</w:t>
      </w:r>
    </w:p>
    <w:p>
      <w:pPr>
        <w:pStyle w:val="Normal"/>
        <w:jc w:val="both"/>
        <w:rPr>
          <w:rFonts w:ascii="PT Astra Serif" w:hAnsi="PT Astra Serif"/>
          <w:spacing w:val="4"/>
          <w:sz w:val="22"/>
          <w:szCs w:val="22"/>
        </w:rPr>
      </w:pPr>
      <w:r>
        <w:rPr>
          <w:rFonts w:ascii="PT Astra Serif" w:hAnsi="PT Astra Serif"/>
          <w:sz w:val="22"/>
          <w:szCs w:val="22"/>
        </w:rPr>
        <w:t xml:space="preserve">6.4. В случае снятия «Заказчиком» тревожной сигнализации на «Объекте» с наблюдения ПЦН позднее времени окончания наблюдения, указанного в </w:t>
      </w:r>
      <w:r>
        <w:rPr>
          <w:rFonts w:ascii="PT Astra Serif" w:hAnsi="PT Astra Serif"/>
          <w:spacing w:val="3"/>
          <w:sz w:val="22"/>
          <w:szCs w:val="22"/>
        </w:rPr>
        <w:t>Перечне объектов (Приложение №1), или в случае постановки «</w:t>
      </w:r>
      <w:r>
        <w:rPr>
          <w:rFonts w:ascii="PT Astra Serif" w:hAnsi="PT Astra Serif"/>
          <w:sz w:val="22"/>
          <w:szCs w:val="22"/>
        </w:rPr>
        <w:t xml:space="preserve">Заказчиком»тревожной сигнализации на «Объекте» под наблюдение ПЦН </w:t>
      </w:r>
      <w:r>
        <w:rPr>
          <w:rFonts w:ascii="PT Astra Serif" w:hAnsi="PT Astra Serif"/>
          <w:spacing w:val="3"/>
          <w:sz w:val="22"/>
          <w:szCs w:val="22"/>
        </w:rPr>
        <w:t>ранее времени, указанного в Перечне объектов (Приложение №1), «</w:t>
      </w:r>
      <w:r>
        <w:rPr>
          <w:rFonts w:ascii="PT Astra Serif" w:hAnsi="PT Astra Serif"/>
          <w:sz w:val="22"/>
          <w:szCs w:val="22"/>
        </w:rPr>
        <w:t>Заказчик»</w:t>
      </w:r>
      <w:r>
        <w:rPr>
          <w:rFonts w:ascii="PT Astra Serif" w:hAnsi="PT Astra Serif"/>
          <w:spacing w:val="3"/>
          <w:sz w:val="22"/>
          <w:szCs w:val="22"/>
        </w:rPr>
        <w:t xml:space="preserve"> выплачивает «</w:t>
      </w:r>
      <w:r>
        <w:rPr>
          <w:rFonts w:ascii="PT Astra Serif" w:hAnsi="PT Astra Serif"/>
          <w:sz w:val="22"/>
          <w:szCs w:val="22"/>
        </w:rPr>
        <w:t>Исполнителю»</w:t>
      </w:r>
      <w:r>
        <w:rPr>
          <w:rFonts w:ascii="PT Astra Serif" w:hAnsi="PT Astra Serif"/>
          <w:spacing w:val="4"/>
          <w:sz w:val="22"/>
          <w:szCs w:val="22"/>
        </w:rPr>
        <w:t xml:space="preserve"> компенсацию сверх ежемесячной абонентской оплаты пропорционально времени нахождения «Объекта» под наблюдением ПЦН за пределами времени, определенного в Перечне объектов (Приложение №1), по тарифу, указанному в Перечне объектов (Приложение №1).</w:t>
      </w:r>
    </w:p>
    <w:p>
      <w:pPr>
        <w:pStyle w:val="Normal"/>
        <w:jc w:val="both"/>
        <w:rPr>
          <w:rFonts w:ascii="PT Astra Serif" w:hAnsi="PT Astra Serif"/>
          <w:spacing w:val="4"/>
          <w:sz w:val="22"/>
          <w:szCs w:val="22"/>
        </w:rPr>
      </w:pPr>
      <w:r>
        <w:rPr>
          <w:rFonts w:ascii="PT Astra Serif" w:hAnsi="PT Astra Serif"/>
          <w:sz w:val="22"/>
          <w:szCs w:val="22"/>
        </w:rPr>
        <w:t>6.5. В случае поступления сигнала «Тревога» на пульт централизованного наблюдения «Исполнителя» во время, отличное от указанного в Перечне объектов (Приложение №1), «Заказчик» оплачивает расходы «Исполнителя» в размерах, определенных фактическими затратами на содержание парного наряда вневедомственной охраны с 1 (одной) единицей автотранспорта.</w:t>
      </w:r>
    </w:p>
    <w:p>
      <w:pPr>
        <w:pStyle w:val="Normal"/>
        <w:jc w:val="both"/>
        <w:rPr>
          <w:rFonts w:ascii="PT Astra Serif" w:hAnsi="PT Astra Serif"/>
          <w:sz w:val="22"/>
          <w:szCs w:val="22"/>
        </w:rPr>
      </w:pPr>
      <w:r>
        <w:rPr>
          <w:rFonts w:ascii="PT Astra Serif" w:hAnsi="PT Astra Serif"/>
          <w:spacing w:val="-9"/>
          <w:sz w:val="22"/>
          <w:szCs w:val="22"/>
        </w:rPr>
        <w:t xml:space="preserve">6.6. </w:t>
      </w:r>
      <w:r>
        <w:rPr>
          <w:rFonts w:ascii="PT Astra Serif" w:hAnsi="PT Astra Serif"/>
          <w:sz w:val="22"/>
          <w:szCs w:val="22"/>
        </w:rPr>
        <w:t>Компенсации и платежи (далее – платежи) за дополнительные услуги, оказываемые в ходе исполнения обязательств по Договору, не включены в абонентскую плату. Указанные платежи производятся «Заказчиком» на основании акта оказанных услуг в течение 5 (Пяти) рабочих дней с момента получения счетов от «Исполнителя» в размере, согласно действующим тарифам.</w:t>
      </w:r>
    </w:p>
    <w:p>
      <w:pPr>
        <w:pStyle w:val="Normal"/>
        <w:jc w:val="both"/>
        <w:rPr>
          <w:rFonts w:ascii="PT Astra Serif" w:hAnsi="PT Astra Serif"/>
          <w:sz w:val="22"/>
          <w:szCs w:val="22"/>
        </w:rPr>
      </w:pPr>
      <w:r>
        <w:rPr>
          <w:rFonts w:ascii="PT Astra Serif" w:hAnsi="PT Astra Serif"/>
          <w:sz w:val="22"/>
          <w:szCs w:val="22"/>
        </w:rPr>
        <w:t>6.7. В случае досрочного расторжения Договора, «Сторонами» проводятся взаиморасчеты, исходя из стоимости фактически оказанных услуг на момент расторжения Договора.</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z w:val="22"/>
          <w:szCs w:val="22"/>
        </w:rPr>
        <w:t>6.8. В случае осуществления электронного документооборота в рамках настоящего Договора, «Исполнитель» направляет «Заказчику» в электронном виде по телекоммуникационным каналам связи с применением усиленной квалифицированной электронной цифровой подписи (далее - ЭЦП) счета, акты об оказании услуг, акты сверки расчетов (задолженности) (далее – электронные документы).</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z w:val="22"/>
          <w:szCs w:val="22"/>
        </w:rPr>
        <w:t>Обмен документами в электронном виде по телекоммуникационным каналам связи осуществляется посредствам системы электронного документооборота СБИС оператора электронного документооборота - Общество с ограниченной ответственностью «Компания Тензор» (ИНН 7605016030) (далее – Оператор электронного документооборота).</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z w:val="22"/>
          <w:szCs w:val="22"/>
        </w:rPr>
        <w:t>Обмен иными документами, неуказанными в настоящем пункте, осуществляется на бумажном носителе через организации почтовой связи.</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z w:val="22"/>
          <w:szCs w:val="22"/>
        </w:rPr>
        <w:t>6.9. Электронные документы признаются равнозначными документам на бумажных носителях, подписанным собственноручной подписью уполномоченных представителей «Сторон», при условии, что электронные документы заверены ЭЦП уполномоченных лиц «Сторон».</w:t>
      </w:r>
    </w:p>
    <w:p>
      <w:pPr>
        <w:pStyle w:val="Normal"/>
        <w:shd w:val="clear" w:color="auto" w:fill="FFFFFF"/>
        <w:tabs>
          <w:tab w:val="clear" w:pos="709"/>
          <w:tab w:val="left" w:pos="917" w:leader="none"/>
        </w:tabs>
        <w:jc w:val="both"/>
        <w:rPr>
          <w:rFonts w:ascii="PT Astra Serif" w:hAnsi="PT Astra Serif"/>
          <w:sz w:val="22"/>
          <w:szCs w:val="22"/>
        </w:rPr>
      </w:pPr>
      <w:r>
        <w:rPr>
          <w:rFonts w:ascii="PT Astra Serif" w:hAnsi="PT Astra Serif"/>
          <w:sz w:val="22"/>
          <w:szCs w:val="22"/>
        </w:rPr>
        <w:t>6.10. Датой выставления «Заказчику» электронных документов в электронном виде по телекоммуникационным каналам связи считается дата поступления файла документа Оператору электронного документооборота от «Исполнителя», указанная в подтверждении этого Оператора электронного документооборота. Датой получения «Заказчиком» документов в электронном виде считается следующий рабочий день после даты поступления файлов документов Оператору электронного документооборота от «Исполнителя», указанной в подтверждении этого Оператора электронного документооборота. «Заказчик» в срок не позднее 2 (двух) дней от даты получения акта об оказании услуг, счета и акта сверки рассматривает и заверяет ЭЦП, либо отклоняет указанные Документы в электронном виде посредством Оператора электронного документооборота. В случае возникновения разногласий по акту сверки, отклоненный акт возвращается с указанием причин разногласий в срок не позднее 3 (трех) дней с даты получения акта сверки. Для осуществления электронного документооборота «Заказчик» обязан не позднее следующего рабочего дня с даты получения документов в электронном виде, подписать их ЭЦП и направить через Оператора электронного документооборота в адрес «Исполнителя» извещение о получении документов.</w:t>
      </w:r>
    </w:p>
    <w:p>
      <w:pPr>
        <w:pStyle w:val="Normal"/>
        <w:shd w:val="clear" w:color="auto" w:fill="FFFFFF"/>
        <w:tabs>
          <w:tab w:val="clear" w:pos="709"/>
          <w:tab w:val="left" w:pos="917" w:leader="none"/>
        </w:tabs>
        <w:ind w:firstLine="709"/>
        <w:jc w:val="center"/>
        <w:rPr>
          <w:rFonts w:ascii="PT Astra Serif" w:hAnsi="PT Astra Serif"/>
          <w:b/>
          <w:b/>
          <w:bCs/>
          <w:spacing w:val="-8"/>
          <w:sz w:val="22"/>
          <w:szCs w:val="22"/>
        </w:rPr>
      </w:pPr>
      <w:r>
        <w:rPr>
          <w:rFonts w:ascii="PT Astra Serif" w:hAnsi="PT Astra Serif"/>
          <w:b/>
          <w:bCs/>
          <w:spacing w:val="-8"/>
          <w:sz w:val="22"/>
          <w:szCs w:val="22"/>
        </w:rPr>
      </w:r>
    </w:p>
    <w:p>
      <w:pPr>
        <w:pStyle w:val="Normal"/>
        <w:shd w:val="clear" w:color="auto" w:fill="FFFFFF"/>
        <w:tabs>
          <w:tab w:val="clear" w:pos="709"/>
          <w:tab w:val="left" w:pos="917" w:leader="none"/>
        </w:tabs>
        <w:jc w:val="center"/>
        <w:rPr>
          <w:rFonts w:ascii="PT Astra Serif" w:hAnsi="PT Astra Serif"/>
          <w:b/>
          <w:b/>
          <w:bCs/>
          <w:spacing w:val="-8"/>
          <w:sz w:val="22"/>
          <w:szCs w:val="22"/>
        </w:rPr>
      </w:pPr>
      <w:r>
        <w:rPr>
          <w:rFonts w:ascii="PT Astra Serif" w:hAnsi="PT Astra Serif"/>
          <w:b/>
          <w:bCs/>
          <w:spacing w:val="-8"/>
          <w:sz w:val="22"/>
          <w:szCs w:val="22"/>
        </w:rPr>
        <w:t>7. Форс-мажор</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pacing w:val="-9"/>
          <w:sz w:val="22"/>
          <w:szCs w:val="22"/>
        </w:rPr>
        <w:t xml:space="preserve">7.1. </w:t>
      </w:r>
      <w:r>
        <w:rPr>
          <w:rFonts w:ascii="PT Astra Serif" w:hAnsi="PT Astra Serif"/>
          <w:sz w:val="22"/>
          <w:szCs w:val="22"/>
        </w:rPr>
        <w:t>Наличие форс-мажорных обстоятельств (обстоятельств непреодолимой силы, непредвиденных, неконтролируемых, непредсказуемых, делающих исполнение условий Договора невозможным,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обязательств, принятых по Договору.</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pacing w:val="-8"/>
          <w:sz w:val="22"/>
          <w:szCs w:val="22"/>
        </w:rPr>
        <w:t xml:space="preserve">7.2. </w:t>
      </w:r>
      <w:r>
        <w:rPr>
          <w:rFonts w:ascii="PT Astra Serif" w:hAnsi="PT Astra Serif"/>
          <w:sz w:val="22"/>
          <w:szCs w:val="22"/>
        </w:rPr>
        <w:t>«Сторона», для которой выполнение обязательств по Договору стало невозможным вследствие наступления обстоятельств непреодолимой силы, должна информировать другую «Сторону» о наступлении таких обстоятельств в течение 2 (Двух) дней.</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z w:val="22"/>
          <w:szCs w:val="22"/>
        </w:rPr>
      </w:r>
    </w:p>
    <w:p>
      <w:pPr>
        <w:pStyle w:val="Normal"/>
        <w:shd w:val="clear" w:color="auto" w:fill="FFFFFF"/>
        <w:jc w:val="center"/>
        <w:rPr>
          <w:rFonts w:ascii="PT Astra Serif" w:hAnsi="PT Astra Serif"/>
          <w:color w:val="000000"/>
          <w:spacing w:val="6"/>
          <w:sz w:val="22"/>
          <w:szCs w:val="22"/>
        </w:rPr>
      </w:pPr>
      <w:r>
        <w:rPr>
          <w:rFonts w:ascii="PT Astra Serif" w:hAnsi="PT Astra Serif"/>
          <w:b/>
          <w:bCs/>
          <w:color w:val="000000"/>
          <w:spacing w:val="6"/>
          <w:sz w:val="22"/>
          <w:szCs w:val="22"/>
        </w:rPr>
        <w:t>8. Срок действия договора и порядок его расторжения</w:t>
      </w:r>
    </w:p>
    <w:p>
      <w:pPr>
        <w:pStyle w:val="Normal"/>
        <w:shd w:val="clear" w:color="auto" w:fill="FFFFFF"/>
        <w:tabs>
          <w:tab w:val="clear" w:pos="709"/>
          <w:tab w:val="left" w:pos="898" w:leader="none"/>
        </w:tabs>
        <w:jc w:val="both"/>
        <w:rPr>
          <w:rFonts w:ascii="PT Astra Serif" w:hAnsi="PT Astra Serif"/>
          <w:sz w:val="22"/>
          <w:szCs w:val="22"/>
        </w:rPr>
      </w:pPr>
      <w:r>
        <w:rPr>
          <w:rFonts w:ascii="PT Astra Serif" w:hAnsi="PT Astra Serif"/>
          <w:sz w:val="22"/>
          <w:szCs w:val="22"/>
        </w:rPr>
        <w:t xml:space="preserve">8.1. </w:t>
      </w:r>
      <w:r>
        <w:rPr>
          <w:rFonts w:ascii="PT Astra Serif" w:hAnsi="PT Astra Serif"/>
          <w:spacing w:val="-5"/>
          <w:sz w:val="22"/>
          <w:szCs w:val="22"/>
        </w:rPr>
        <w:t>Настоящий Договор вступает в силу с момента подписания его «Сторонами» и действует с 01 января 2026 года по 31 декабря 2026 года. Договор пролонгации не подлежит.</w:t>
      </w:r>
    </w:p>
    <w:p>
      <w:pPr>
        <w:pStyle w:val="Normal"/>
        <w:shd w:val="clear" w:color="auto" w:fill="FFFFFF"/>
        <w:jc w:val="both"/>
        <w:rPr>
          <w:rFonts w:ascii="PT Astra Serif" w:hAnsi="PT Astra Serif"/>
          <w:sz w:val="22"/>
          <w:szCs w:val="22"/>
        </w:rPr>
      </w:pPr>
      <w:r>
        <w:rPr>
          <w:rFonts w:ascii="PT Astra Serif" w:hAnsi="PT Astra Serif"/>
          <w:sz w:val="22"/>
          <w:szCs w:val="22"/>
        </w:rPr>
        <w:t>8.2. При отказе от охраны отдельных объектов или полном расторжении Договора заинтересованная «Сторона» обязана письменно предупредить другую «Сторону» не менее чем за 15 (Пятнадцать) дней.</w:t>
      </w:r>
    </w:p>
    <w:p>
      <w:pPr>
        <w:pStyle w:val="Normal"/>
        <w:shd w:val="clear" w:color="auto" w:fill="FFFFFF"/>
        <w:jc w:val="both"/>
        <w:rPr>
          <w:rFonts w:ascii="PT Astra Serif" w:hAnsi="PT Astra Serif"/>
          <w:sz w:val="22"/>
          <w:szCs w:val="22"/>
        </w:rPr>
      </w:pPr>
      <w:r>
        <w:rPr>
          <w:rFonts w:ascii="PT Astra Serif" w:hAnsi="PT Astra Serif"/>
          <w:sz w:val="22"/>
          <w:szCs w:val="22"/>
        </w:rPr>
        <w:t>8.3. Все споры по Договору подлежат разрешению в установленном законом порядке, а при не достижении согласия – в Арбитражном суде Архангельской области.</w:t>
      </w:r>
    </w:p>
    <w:p>
      <w:pPr>
        <w:pStyle w:val="Normal"/>
        <w:shd w:val="clear" w:color="auto" w:fill="FFFFFF"/>
        <w:jc w:val="both"/>
        <w:rPr>
          <w:rFonts w:ascii="PT Astra Serif" w:hAnsi="PT Astra Serif"/>
          <w:sz w:val="22"/>
          <w:szCs w:val="22"/>
        </w:rPr>
      </w:pPr>
      <w:r>
        <w:rPr>
          <w:rFonts w:ascii="PT Astra Serif" w:hAnsi="PT Astra Serif"/>
          <w:sz w:val="22"/>
          <w:szCs w:val="22"/>
        </w:rPr>
        <w:t>8.4. Договор с Приложением составлен в 2 (двух) экземплярах, имеющих одинаковую юридическую силу, по 1 (одному) для каждой из «Сторон».</w:t>
      </w:r>
    </w:p>
    <w:p>
      <w:pPr>
        <w:pStyle w:val="NoSpacing"/>
        <w:jc w:val="both"/>
        <w:rPr>
          <w:rFonts w:ascii="PT Astra Serif" w:hAnsi="PT Astra Serif" w:cs="Times New Roman"/>
        </w:rPr>
      </w:pPr>
      <w:r>
        <w:rPr>
          <w:rFonts w:cs="Times New Roman" w:ascii="PT Astra Serif" w:hAnsi="PT Astra Serif"/>
        </w:rPr>
        <w:t>8.5. С момента подписания Договора все ранее заключенные устные или письменные соглашения между теми же «Сторонами» по тому же предмету утрачивают свою силу.</w:t>
      </w:r>
    </w:p>
    <w:p>
      <w:pPr>
        <w:pStyle w:val="NoSpacing"/>
        <w:jc w:val="both"/>
        <w:rPr>
          <w:rFonts w:ascii="PT Astra Serif" w:hAnsi="PT Astra Serif" w:cs="Times New Roman"/>
          <w:sz w:val="24"/>
          <w:szCs w:val="24"/>
        </w:rPr>
      </w:pPr>
      <w:r>
        <w:rPr>
          <w:rFonts w:cs="Times New Roman" w:ascii="PT Astra Serif" w:hAnsi="PT Astra Serif"/>
          <w:sz w:val="24"/>
          <w:szCs w:val="24"/>
        </w:rPr>
      </w:r>
    </w:p>
    <w:p>
      <w:pPr>
        <w:pStyle w:val="Normal"/>
        <w:shd w:val="clear" w:color="auto" w:fill="FFFFFF"/>
        <w:jc w:val="center"/>
        <w:rPr>
          <w:rFonts w:ascii="PT Astra Serif" w:hAnsi="PT Astra Serif"/>
          <w:b/>
          <w:b/>
          <w:bCs/>
          <w:color w:val="000000"/>
          <w:spacing w:val="6"/>
          <w:sz w:val="24"/>
          <w:szCs w:val="24"/>
        </w:rPr>
      </w:pPr>
      <w:r>
        <w:rPr>
          <w:rFonts w:ascii="PT Astra Serif" w:hAnsi="PT Astra Serif"/>
          <w:b/>
          <w:bCs/>
          <w:color w:val="000000"/>
          <w:spacing w:val="6"/>
          <w:sz w:val="24"/>
          <w:szCs w:val="24"/>
        </w:rPr>
        <w:t>9. Адреса, реквизиты и подписи сторон:</w:t>
      </w:r>
    </w:p>
    <w:tbl>
      <w:tblPr>
        <w:tblW w:w="10420" w:type="dxa"/>
        <w:jc w:val="left"/>
        <w:tblInd w:w="-106" w:type="dxa"/>
        <w:tblCellMar>
          <w:top w:w="0" w:type="dxa"/>
          <w:left w:w="108" w:type="dxa"/>
          <w:bottom w:w="0" w:type="dxa"/>
          <w:right w:w="108" w:type="dxa"/>
        </w:tblCellMar>
        <w:tblLook w:val="00a0" w:noHBand="0" w:noVBand="0" w:firstColumn="1" w:lastRow="0" w:lastColumn="0" w:firstRow="1"/>
      </w:tblPr>
      <w:tblGrid>
        <w:gridCol w:w="6108"/>
        <w:gridCol w:w="4311"/>
      </w:tblGrid>
      <w:tr>
        <w:trPr>
          <w:trHeight w:val="630" w:hRule="atLeast"/>
        </w:trPr>
        <w:tc>
          <w:tcPr>
            <w:tcW w:w="6108" w:type="dxa"/>
            <w:tcBorders/>
          </w:tcPr>
          <w:p>
            <w:pPr>
              <w:pStyle w:val="Normal"/>
              <w:jc w:val="center"/>
              <w:rPr>
                <w:rFonts w:ascii="PT Astra Serif" w:hAnsi="PT Astra Serif"/>
                <w:b/>
                <w:b/>
                <w:bCs/>
              </w:rPr>
            </w:pPr>
            <w:r>
              <w:rPr>
                <w:rFonts w:ascii="PT Astra Serif" w:hAnsi="PT Astra Serif"/>
                <w:b/>
                <w:bCs/>
              </w:rPr>
              <w:t>«Исполнитель»</w:t>
            </w:r>
          </w:p>
          <w:p>
            <w:pPr>
              <w:pStyle w:val="Normal"/>
              <w:jc w:val="both"/>
              <w:rPr>
                <w:rFonts w:ascii="PT Astra Serif" w:hAnsi="PT Astra Serif"/>
                <w:b/>
                <w:b/>
                <w:spacing w:val="-5"/>
              </w:rPr>
            </w:pPr>
            <w:r>
              <w:rPr/>
            </w:r>
          </w:p>
          <w:p>
            <w:pPr>
              <w:pStyle w:val="Normal"/>
              <w:tabs>
                <w:tab w:val="clear" w:pos="709"/>
                <w:tab w:val="left" w:pos="851" w:leader="none"/>
                <w:tab w:val="left" w:pos="9498" w:leader="none"/>
              </w:tabs>
              <w:ind w:right="73" w:hanging="0"/>
              <w:rPr>
                <w:rFonts w:ascii="PT Astra Serif" w:hAnsi="PT Astra Serif"/>
                <w:color w:val="000000"/>
                <w:lang w:bidi="ru-RU"/>
              </w:rPr>
            </w:pPr>
            <w:r>
              <w:rPr/>
            </w:r>
          </w:p>
          <w:p>
            <w:pPr>
              <w:pStyle w:val="Normal"/>
              <w:tabs>
                <w:tab w:val="clear" w:pos="709"/>
                <w:tab w:val="left" w:pos="851" w:leader="none"/>
                <w:tab w:val="left" w:pos="9498" w:leader="none"/>
              </w:tabs>
              <w:rPr>
                <w:rStyle w:val="21"/>
                <w:rFonts w:ascii="PT Astra Serif" w:hAnsi="PT Astra Serif"/>
                <w:sz w:val="20"/>
                <w:szCs w:val="20"/>
              </w:rPr>
            </w:pPr>
            <w:r>
              <w:rPr>
                <w:rFonts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sz w:val="20"/>
                <w:szCs w:val="20"/>
              </w:rPr>
            </w:pPr>
            <w:r>
              <w:rPr>
                <w:rFonts w:ascii="PT Astra Serif" w:hAnsi="PT Astra Serif"/>
                <w:sz w:val="20"/>
                <w:szCs w:val="20"/>
              </w:rPr>
            </w:r>
          </w:p>
          <w:p>
            <w:pPr>
              <w:pStyle w:val="Normal"/>
              <w:tabs>
                <w:tab w:val="clear" w:pos="709"/>
                <w:tab w:val="left" w:pos="851" w:leader="none"/>
                <w:tab w:val="left" w:pos="9498" w:leader="none"/>
              </w:tabs>
              <w:rPr>
                <w:rStyle w:val="21"/>
                <w:rFonts w:ascii="PT Astra Serif" w:hAnsi="PT Astra Serif"/>
                <w:sz w:val="20"/>
                <w:szCs w:val="20"/>
              </w:rPr>
            </w:pPr>
            <w:r>
              <w:rPr>
                <w:rStyle w:val="21"/>
                <w:rFonts w:ascii="PT Astra Serif" w:hAnsi="PT Astra Serif"/>
                <w:sz w:val="20"/>
                <w:szCs w:val="20"/>
              </w:rPr>
              <w:t xml:space="preserve">Начальник      </w:t>
            </w:r>
          </w:p>
          <w:p>
            <w:pPr>
              <w:pStyle w:val="Normal"/>
              <w:tabs>
                <w:tab w:val="clear" w:pos="709"/>
                <w:tab w:val="left" w:pos="851" w:leader="none"/>
                <w:tab w:val="left" w:pos="9498" w:leader="none"/>
              </w:tabs>
              <w:rPr>
                <w:rFonts w:ascii="PT Astra Serif" w:hAnsi="PT Astra Serif"/>
              </w:rPr>
            </w:pPr>
            <w:r>
              <w:rPr>
                <w:rStyle w:val="21"/>
                <w:rFonts w:ascii="PT Astra Serif" w:hAnsi="PT Astra Serif"/>
                <w:sz w:val="20"/>
                <w:szCs w:val="20"/>
              </w:rPr>
              <w:t xml:space="preserve">          </w:t>
            </w:r>
            <w:r>
              <w:rPr>
                <w:rStyle w:val="21"/>
                <w:rFonts w:ascii="PT Astra Serif" w:hAnsi="PT Astra Serif"/>
                <w:sz w:val="20"/>
                <w:szCs w:val="20"/>
              </w:rPr>
              <w:t xml:space="preserve">________________________ </w:t>
            </w:r>
          </w:p>
        </w:tc>
        <w:tc>
          <w:tcPr>
            <w:tcW w:w="4311" w:type="dxa"/>
            <w:tcBorders/>
          </w:tcPr>
          <w:p>
            <w:pPr>
              <w:pStyle w:val="NoSpacing"/>
              <w:jc w:val="center"/>
              <w:rPr>
                <w:rFonts w:ascii="PT Astra Serif" w:hAnsi="PT Astra Serif" w:cs="Times New Roman"/>
                <w:b/>
                <w:b/>
                <w:bCs/>
                <w:sz w:val="20"/>
                <w:szCs w:val="20"/>
              </w:rPr>
            </w:pPr>
            <w:r>
              <w:rPr>
                <w:rFonts w:cs="Times New Roman" w:ascii="PT Astra Serif" w:hAnsi="PT Astra Serif"/>
                <w:b/>
                <w:bCs/>
                <w:sz w:val="20"/>
                <w:szCs w:val="20"/>
              </w:rPr>
              <w:t>«Заказчик»:</w:t>
            </w:r>
          </w:p>
          <w:p>
            <w:pPr>
              <w:pStyle w:val="Normal"/>
              <w:jc w:val="both"/>
              <w:rPr>
                <w:rFonts w:ascii="PT Astra Serif" w:hAnsi="PT Astra Serif"/>
                <w:sz w:val="21"/>
                <w:szCs w:val="21"/>
              </w:rPr>
            </w:pPr>
            <w:r>
              <w:rPr>
                <w:rFonts w:ascii="PT Astra Serif" w:hAnsi="PT Astra Serif"/>
              </w:rPr>
            </w:r>
          </w:p>
          <w:p>
            <w:pPr>
              <w:pStyle w:val="Normal"/>
              <w:rPr>
                <w:rFonts w:ascii="PT Astra Serif" w:hAnsi="PT Astra Serif"/>
              </w:rPr>
            </w:pPr>
            <w:r>
              <w:rPr>
                <w:rFonts w:ascii="PT Astra Serif" w:hAnsi="PT Astra Serif"/>
              </w:rPr>
            </w:r>
          </w:p>
          <w:p>
            <w:pPr>
              <w:pStyle w:val="Normal"/>
              <w:rPr>
                <w:rFonts w:ascii="PT Astra Serif" w:hAnsi="PT Astra Serif"/>
              </w:rPr>
            </w:pPr>
            <w:r>
              <w:rPr>
                <w:rFonts w:ascii="PT Astra Serif" w:hAnsi="PT Astra Serif"/>
              </w:rPr>
            </w:r>
          </w:p>
          <w:p>
            <w:pPr>
              <w:pStyle w:val="Normal"/>
              <w:rPr>
                <w:rFonts w:ascii="PT Astra Serif" w:hAnsi="PT Astra Serif"/>
              </w:rPr>
            </w:pPr>
            <w:r>
              <w:rPr>
                <w:rFonts w:ascii="PT Astra Serif" w:hAnsi="PT Astra Serif"/>
              </w:rPr>
            </w:r>
            <w:bookmarkStart w:id="0" w:name="_GoBack"/>
            <w:bookmarkStart w:id="1" w:name="_GoBack"/>
            <w:bookmarkEnd w:id="1"/>
          </w:p>
          <w:p>
            <w:pPr>
              <w:pStyle w:val="Normal"/>
              <w:rPr>
                <w:rFonts w:ascii="PT Astra Serif" w:hAnsi="PT Astra Serif"/>
              </w:rPr>
            </w:pPr>
            <w:r>
              <w:rPr>
                <w:rFonts w:ascii="PT Astra Serif" w:hAnsi="PT Astra Serif"/>
              </w:rPr>
              <w:t xml:space="preserve">Директор </w:t>
            </w:r>
          </w:p>
          <w:p>
            <w:pPr>
              <w:pStyle w:val="Normal"/>
              <w:rPr>
                <w:rFonts w:ascii="PT Astra Serif" w:hAnsi="PT Astra Serif"/>
                <w:b/>
                <w:b/>
                <w:bCs/>
                <w:sz w:val="18"/>
                <w:szCs w:val="18"/>
              </w:rPr>
            </w:pPr>
            <w:r>
              <w:rPr>
                <w:rFonts w:ascii="PT Astra Serif" w:hAnsi="PT Astra Serif"/>
              </w:rPr>
              <w:t xml:space="preserve">               </w:t>
            </w:r>
            <w:r>
              <w:rPr>
                <w:rFonts w:ascii="PT Astra Serif" w:hAnsi="PT Astra Serif"/>
              </w:rPr>
              <w:t>_______________</w:t>
            </w:r>
          </w:p>
        </w:tc>
      </w:tr>
    </w:tbl>
    <w:p>
      <w:pPr>
        <w:pStyle w:val="NoSpacing"/>
        <w:jc w:val="both"/>
        <w:rPr>
          <w:rFonts w:ascii="PT Astra Serif" w:hAnsi="PT Astra Serif"/>
        </w:rPr>
      </w:pPr>
      <w:r>
        <w:rPr/>
      </w:r>
    </w:p>
    <w:sectPr>
      <w:headerReference w:type="default" r:id="rId2"/>
      <w:footnotePr>
        <w:numFmt w:val="decimal"/>
      </w:footnotePr>
      <w:type w:val="nextPage"/>
      <w:pgSz w:w="11906" w:h="16838"/>
      <w:pgMar w:left="1361" w:right="567" w:header="720" w:top="777" w:footer="0" w:bottom="1134" w:gutter="0"/>
      <w:pgNumType w:start="1" w:fmt="decimal"/>
      <w:formProt w:val="false"/>
      <w:titlePg/>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mbria">
    <w:charset w:val="01"/>
    <w:family w:val="roman"/>
    <w:pitch w:val="default"/>
  </w:font>
  <w:font w:name="Calibri">
    <w:charset w:val="01"/>
    <w:family w:val="roman"/>
    <w:pitch w:val="default"/>
  </w:font>
  <w:font w:name="Courier New">
    <w:charset w:val="01"/>
    <w:family w:val="roman"/>
    <w:pitch w:val="default"/>
  </w:font>
  <w:font w:name="Sylfaen">
    <w:charset w:val="01"/>
    <w:family w:val="roman"/>
    <w:pitch w:val="default"/>
  </w:font>
  <w:font w:name="PT Astra Serif">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34"/>
        <w:rPr/>
      </w:pPr>
      <w:r>
        <w:rPr>
          <w:rStyle w:val="Style22"/>
        </w:rPr>
        <w:footnoteRef/>
      </w:r>
      <w:r>
        <w:rPr>
          <w:sz w:val="18"/>
          <w:szCs w:val="18"/>
        </w:rPr>
        <w:t>Периодичность обследования определяется в соответствии с нормативными правовыми актами  Росгвардии.</w:t>
      </w:r>
    </w:p>
  </w:footnote>
  <w:footnote w:id="3">
    <w:p>
      <w:pPr>
        <w:pStyle w:val="Style34"/>
        <w:rPr/>
      </w:pPr>
      <w:r>
        <w:rPr>
          <w:rStyle w:val="Style22"/>
        </w:rPr>
        <w:footnoteRef/>
      </w:r>
      <w:r>
        <w:rPr>
          <w:sz w:val="18"/>
          <w:szCs w:val="18"/>
        </w:rPr>
        <w:t>Периодичность обследования определяется нормативными правовыми актами Росгвардии.</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rPr>
        <w:sz w:val="16"/>
        <w:szCs w:val="16"/>
      </w:rPr>
    </w:pPr>
    <w:r>
      <w:rPr>
        <w:sz w:val="16"/>
        <w:szCs w:val="16"/>
      </w:rPr>
    </w:r>
    <w:r>
      <mc:AlternateContent>
        <mc:Choice Requires="wps">
          <w:drawing>
            <wp:anchor behindDoc="0" distT="0" distB="0" distL="0" distR="0" simplePos="0" locked="0" layoutInCell="1" allowOverlap="1" relativeHeight="5">
              <wp:simplePos x="0" y="0"/>
              <wp:positionH relativeFrom="page">
                <wp:posOffset>3408680</wp:posOffset>
              </wp:positionH>
              <wp:positionV relativeFrom="paragraph">
                <wp:posOffset>-18415</wp:posOffset>
              </wp:positionV>
              <wp:extent cx="51435" cy="116840"/>
              <wp:effectExtent l="0" t="0" r="0" b="0"/>
              <wp:wrapSquare wrapText="largest"/>
              <wp:docPr id="1" name="Врезка1"/>
              <a:graphic xmlns:a="http://schemas.openxmlformats.org/drawingml/2006/main">
                <a:graphicData uri="http://schemas.microsoft.com/office/word/2010/wordprocessingShape">
                  <wps:wsp>
                    <wps:cNvSpPr txBox="1"/>
                    <wps:spPr>
                      <a:xfrm>
                        <a:off x="0" y="0"/>
                        <a:ext cx="51435" cy="116840"/>
                      </a:xfrm>
                      <a:prstGeom prst="rect"/>
                      <a:solidFill>
                        <a:srgbClr val="FFFFFF">
                          <a:alpha val="0"/>
                        </a:srgbClr>
                      </a:solidFill>
                    </wps:spPr>
                    <wps:txbx>
                      <w:txbxContent>
                        <w:p>
                          <w:pPr>
                            <w:pStyle w:val="Style31"/>
                            <w:pBdr/>
                            <w:rPr>
                              <w:rStyle w:val="Pagenumber"/>
                              <w:sz w:val="16"/>
                              <w:szCs w:val="16"/>
                            </w:rPr>
                          </w:pPr>
                          <w:r>
                            <w:rPr>
                              <w:rStyle w:val="Pagenumber"/>
                              <w:sz w:val="16"/>
                              <w:szCs w:val="16"/>
                            </w:rPr>
                            <w:fldChar w:fldCharType="begin"/>
                          </w:r>
                          <w:r>
                            <w:rPr>
                              <w:rStyle w:val="Pagenumber"/>
                              <w:sz w:val="16"/>
                              <w:szCs w:val="16"/>
                            </w:rPr>
                            <w:instrText> PAGE </w:instrText>
                          </w:r>
                          <w:r>
                            <w:rPr>
                              <w:rStyle w:val="Pagenumber"/>
                              <w:sz w:val="16"/>
                              <w:szCs w:val="16"/>
                            </w:rPr>
                            <w:fldChar w:fldCharType="separate"/>
                          </w:r>
                          <w:r>
                            <w:rPr>
                              <w:rStyle w:val="Pagenumber"/>
                              <w:sz w:val="16"/>
                              <w:szCs w:val="16"/>
                            </w:rPr>
                            <w:t>5</w:t>
                          </w:r>
                          <w:r>
                            <w:rPr>
                              <w:rStyle w:val="Pagenumber"/>
                              <w:sz w:val="16"/>
                              <w:szCs w:val="16"/>
                            </w:rPr>
                            <w:fldChar w:fldCharType="end"/>
                          </w:r>
                        </w:p>
                      </w:txbxContent>
                    </wps:txbx>
                    <wps:bodyPr anchor="t" lIns="0" tIns="0" rIns="0" bIns="0">
                      <a:spAutoFit/>
                    </wps:bodyPr>
                  </wps:wsp>
                </a:graphicData>
              </a:graphic>
            </wp:anchor>
          </w:drawing>
        </mc:Choice>
        <mc:Fallback>
          <w:pict>
            <v:rect fillcolor="#FFFFFF" style="position:absolute;rotation:0;width:4.05pt;height:9.2pt;mso-wrap-distance-left:0pt;mso-wrap-distance-right:0pt;mso-wrap-distance-top:0pt;mso-wrap-distance-bottom:0pt;margin-top:-1.45pt;mso-position-vertical-relative:text;margin-left:268.4pt;mso-position-horizontal-relative:page">
              <v:fill opacity="0f"/>
              <v:textbox inset="0in,0in,0in,0in">
                <w:txbxContent>
                  <w:p>
                    <w:pPr>
                      <w:pStyle w:val="Style31"/>
                      <w:pBdr/>
                      <w:rPr>
                        <w:rStyle w:val="Pagenumber"/>
                        <w:sz w:val="16"/>
                        <w:szCs w:val="16"/>
                      </w:rPr>
                    </w:pPr>
                    <w:r>
                      <w:rPr>
                        <w:rStyle w:val="Pagenumber"/>
                        <w:sz w:val="16"/>
                        <w:szCs w:val="16"/>
                      </w:rPr>
                      <w:fldChar w:fldCharType="begin"/>
                    </w:r>
                    <w:r>
                      <w:rPr>
                        <w:rStyle w:val="Pagenumber"/>
                        <w:sz w:val="16"/>
                        <w:szCs w:val="16"/>
                      </w:rPr>
                      <w:instrText> PAGE </w:instrText>
                    </w:r>
                    <w:r>
                      <w:rPr>
                        <w:rStyle w:val="Pagenumber"/>
                        <w:sz w:val="16"/>
                        <w:szCs w:val="16"/>
                      </w:rPr>
                      <w:fldChar w:fldCharType="separate"/>
                    </w:r>
                    <w:r>
                      <w:rPr>
                        <w:rStyle w:val="Pagenumber"/>
                        <w:sz w:val="16"/>
                        <w:szCs w:val="16"/>
                      </w:rPr>
                      <w:t>5</w:t>
                    </w:r>
                    <w:r>
                      <w:rPr>
                        <w:rStyle w:val="Pagenumber"/>
                        <w:sz w:val="16"/>
                        <w:szCs w:val="16"/>
                      </w:rPr>
                      <w:fldChar w:fldCharType="end"/>
                    </w:r>
                  </w:p>
                </w:txbxContent>
              </v:textbox>
              <w10:wrap type="square" side="largest"/>
            </v:rect>
          </w:pict>
        </mc:Fallback>
      </mc:AlternateContent>
    </w:r>
  </w:p>
</w:hdr>
</file>

<file path=word/settings.xml><?xml version="1.0" encoding="utf-8"?>
<w:settings xmlns:w="http://schemas.openxmlformats.org/wordprocessingml/2006/main">
  <w:zoom w:percent="130"/>
  <w:mirrorMargins/>
  <w:embedSystemFonts/>
  <w:defaultTabStop w:val="709"/>
  <w:autoHyphenation w:val="true"/>
  <w:doNotHyphenateCaps/>
  <w:footnotePr>
    <w:numFmt w:val="decimal"/>
    <w:footnote w:id="0"/>
    <w:footnote w:id="1"/>
  </w:footnotePr>
  <w:compat>
    <w:compatSetting w:name="compatibilityMode" w:uri="http://schemas.microsoft.com/office/word" w:val="12"/>
  </w:compat>
  <w:hyphenationZone w:val="357"/>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header" w:locked="1" w:uiPriority="0" w:semiHidden="0" w:unhideWhenUsed="0"/>
    <w:lsdException w:name="caption" w:locked="1" w:uiPriority="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Hyperlink" w:locked="1" w:uiPriority="0" w:semiHidden="0" w:unhideWhenUsed="0"/>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f2bdf"/>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1">
    <w:name w:val="Heading 1"/>
    <w:basedOn w:val="Normal"/>
    <w:next w:val="Normal"/>
    <w:link w:val="10"/>
    <w:uiPriority w:val="99"/>
    <w:qFormat/>
    <w:rsid w:val="002b746f"/>
    <w:pPr>
      <w:keepNext w:val="true"/>
      <w:widowControl/>
      <w:overflowPunct w:val="true"/>
      <w:textAlignment w:val="baseline"/>
      <w:outlineLvl w:val="0"/>
    </w:pPr>
    <w:rPr>
      <w:sz w:val="24"/>
      <w:szCs w:val="24"/>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uiPriority w:val="99"/>
    <w:qFormat/>
    <w:locked/>
    <w:rsid w:val="003d3d98"/>
    <w:rPr>
      <w:rFonts w:ascii="Cambria" w:hAnsi="Cambria" w:cs="Cambria"/>
      <w:b/>
      <w:bCs/>
      <w:kern w:val="2"/>
      <w:sz w:val="32"/>
      <w:szCs w:val="32"/>
    </w:rPr>
  </w:style>
  <w:style w:type="character" w:styleId="12" w:customStyle="1">
    <w:name w:val="Гиперссылка1"/>
    <w:basedOn w:val="DefaultParagraphFont"/>
    <w:uiPriority w:val="99"/>
    <w:qFormat/>
    <w:rsid w:val="002e6b38"/>
    <w:rPr>
      <w:color w:val="0000FF"/>
      <w:u w:val="single"/>
    </w:rPr>
  </w:style>
  <w:style w:type="character" w:styleId="Style13">
    <w:name w:val="Интернет-ссылка"/>
    <w:basedOn w:val="DefaultParagraphFont"/>
    <w:uiPriority w:val="99"/>
    <w:rsid w:val="00fc3d38"/>
    <w:rPr>
      <w:color w:val="0000FF"/>
      <w:u w:val="single"/>
    </w:rPr>
  </w:style>
  <w:style w:type="character" w:styleId="Style14" w:customStyle="1">
    <w:name w:val="Верхний колонтитул Знак"/>
    <w:basedOn w:val="DefaultParagraphFont"/>
    <w:link w:val="a5"/>
    <w:uiPriority w:val="99"/>
    <w:qFormat/>
    <w:locked/>
    <w:rsid w:val="002b35f2"/>
    <w:rPr/>
  </w:style>
  <w:style w:type="character" w:styleId="Pagenumber">
    <w:name w:val="page number"/>
    <w:basedOn w:val="DefaultParagraphFont"/>
    <w:uiPriority w:val="99"/>
    <w:qFormat/>
    <w:rsid w:val="00942680"/>
    <w:rPr/>
  </w:style>
  <w:style w:type="character" w:styleId="Style15" w:customStyle="1">
    <w:name w:val="Нижний колонтитул Знак"/>
    <w:basedOn w:val="DefaultParagraphFont"/>
    <w:link w:val="a8"/>
    <w:uiPriority w:val="99"/>
    <w:semiHidden/>
    <w:qFormat/>
    <w:locked/>
    <w:rsid w:val="00942680"/>
    <w:rPr>
      <w:lang w:val="ru-RU" w:eastAsia="ru-RU"/>
    </w:rPr>
  </w:style>
  <w:style w:type="character" w:styleId="Style16" w:customStyle="1">
    <w:name w:val="Основной текст Знак"/>
    <w:basedOn w:val="DefaultParagraphFont"/>
    <w:link w:val="aa"/>
    <w:uiPriority w:val="99"/>
    <w:semiHidden/>
    <w:qFormat/>
    <w:locked/>
    <w:rsid w:val="003d3d98"/>
    <w:rPr>
      <w:sz w:val="20"/>
      <w:szCs w:val="20"/>
    </w:rPr>
  </w:style>
  <w:style w:type="character" w:styleId="Style17" w:customStyle="1">
    <w:name w:val="Основной текст с отступом Знак"/>
    <w:basedOn w:val="DefaultParagraphFont"/>
    <w:link w:val="ae"/>
    <w:uiPriority w:val="99"/>
    <w:qFormat/>
    <w:locked/>
    <w:rsid w:val="00a4799a"/>
    <w:rPr/>
  </w:style>
  <w:style w:type="character" w:styleId="2" w:customStyle="1">
    <w:name w:val="Основной текст с отступом 2 Знак"/>
    <w:basedOn w:val="DefaultParagraphFont"/>
    <w:link w:val="2"/>
    <w:uiPriority w:val="99"/>
    <w:qFormat/>
    <w:locked/>
    <w:rsid w:val="00c762d4"/>
    <w:rPr/>
  </w:style>
  <w:style w:type="character" w:styleId="Style18" w:customStyle="1">
    <w:name w:val="Без интервала Знак"/>
    <w:basedOn w:val="DefaultParagraphFont"/>
    <w:link w:val="ac"/>
    <w:uiPriority w:val="1"/>
    <w:qFormat/>
    <w:locked/>
    <w:rsid w:val="00c30c60"/>
    <w:rPr>
      <w:rFonts w:ascii="Calibri" w:hAnsi="Calibri" w:cs="Calibri"/>
      <w:sz w:val="22"/>
      <w:szCs w:val="22"/>
      <w:lang w:val="ru-RU" w:eastAsia="ru-RU"/>
    </w:rPr>
  </w:style>
  <w:style w:type="character" w:styleId="Style19" w:customStyle="1">
    <w:name w:val="Текст Знак"/>
    <w:basedOn w:val="DefaultParagraphFont"/>
    <w:link w:val="af0"/>
    <w:uiPriority w:val="99"/>
    <w:qFormat/>
    <w:locked/>
    <w:rsid w:val="00395aa8"/>
    <w:rPr>
      <w:rFonts w:ascii="Courier New" w:hAnsi="Courier New" w:cs="Courier New"/>
      <w:sz w:val="24"/>
      <w:szCs w:val="24"/>
    </w:rPr>
  </w:style>
  <w:style w:type="character" w:styleId="Style20" w:customStyle="1">
    <w:name w:val="Текст сноски Знак"/>
    <w:basedOn w:val="DefaultParagraphFont"/>
    <w:link w:val="af2"/>
    <w:uiPriority w:val="99"/>
    <w:qFormat/>
    <w:locked/>
    <w:rsid w:val="0057465d"/>
    <w:rPr/>
  </w:style>
  <w:style w:type="character" w:styleId="Style21">
    <w:name w:val="Привязка сноски"/>
    <w:rPr>
      <w:vertAlign w:val="superscript"/>
    </w:rPr>
  </w:style>
  <w:style w:type="character" w:styleId="FootnoteCharacters">
    <w:name w:val="Footnote Characters"/>
    <w:basedOn w:val="DefaultParagraphFont"/>
    <w:uiPriority w:val="99"/>
    <w:semiHidden/>
    <w:qFormat/>
    <w:rsid w:val="0057465d"/>
    <w:rPr>
      <w:vertAlign w:val="superscript"/>
    </w:rPr>
  </w:style>
  <w:style w:type="character" w:styleId="21" w:customStyle="1">
    <w:name w:val="Основной текст (2)"/>
    <w:uiPriority w:val="99"/>
    <w:qFormat/>
    <w:rsid w:val="00cf75d9"/>
    <w:rPr>
      <w:rFonts w:ascii="Times New Roman" w:hAnsi="Times New Roman" w:cs="Times New Roman"/>
      <w:color w:val="000000"/>
      <w:spacing w:val="0"/>
      <w:w w:val="100"/>
      <w:sz w:val="24"/>
      <w:szCs w:val="24"/>
      <w:u w:val="none"/>
      <w:lang w:val="ru-RU" w:eastAsia="ru-RU"/>
    </w:rPr>
  </w:style>
  <w:style w:type="character" w:styleId="22" w:customStyle="1">
    <w:name w:val="Основной текст (2) + Курсив"/>
    <w:uiPriority w:val="99"/>
    <w:qFormat/>
    <w:rsid w:val="00cf75d9"/>
    <w:rPr>
      <w:rFonts w:ascii="Times New Roman" w:hAnsi="Times New Roman" w:cs="Times New Roman"/>
      <w:i/>
      <w:iCs/>
      <w:color w:val="000000"/>
      <w:spacing w:val="-10"/>
      <w:w w:val="100"/>
      <w:sz w:val="24"/>
      <w:szCs w:val="24"/>
      <w:u w:val="none"/>
      <w:lang w:val="ru-RU" w:eastAsia="ru-RU"/>
    </w:rPr>
  </w:style>
  <w:style w:type="character" w:styleId="9" w:customStyle="1">
    <w:name w:val="Основной текст (9)"/>
    <w:uiPriority w:val="99"/>
    <w:qFormat/>
    <w:rsid w:val="00cf75d9"/>
    <w:rPr>
      <w:rFonts w:ascii="Times New Roman" w:hAnsi="Times New Roman" w:cs="Times New Roman"/>
      <w:i/>
      <w:iCs/>
      <w:color w:val="000000"/>
      <w:spacing w:val="-10"/>
      <w:w w:val="100"/>
      <w:sz w:val="24"/>
      <w:szCs w:val="24"/>
      <w:u w:val="none"/>
      <w:lang w:val="ru-RU" w:eastAsia="ru-RU"/>
    </w:rPr>
  </w:style>
  <w:style w:type="character" w:styleId="23" w:customStyle="1">
    <w:name w:val="Основной текст (2)_"/>
    <w:uiPriority w:val="99"/>
    <w:qFormat/>
    <w:rsid w:val="00832015"/>
    <w:rPr>
      <w:rFonts w:ascii="Sylfaen" w:hAnsi="Sylfaen" w:eastAsia="Times New Roman" w:cs="Sylfaen"/>
      <w:sz w:val="19"/>
      <w:szCs w:val="19"/>
      <w:shd w:fill="FFFFFF" w:val="clear"/>
    </w:rPr>
  </w:style>
  <w:style w:type="character" w:styleId="211" w:customStyle="1">
    <w:name w:val="Основной текст (2) + Курсив1"/>
    <w:uiPriority w:val="99"/>
    <w:qFormat/>
    <w:rsid w:val="00434daa"/>
    <w:rPr>
      <w:rFonts w:ascii="Times New Roman" w:hAnsi="Times New Roman" w:eastAsia="Times New Roman" w:cs="Times New Roman"/>
      <w:i/>
      <w:iCs/>
      <w:color w:val="000000"/>
      <w:spacing w:val="-10"/>
      <w:w w:val="100"/>
      <w:sz w:val="24"/>
      <w:szCs w:val="24"/>
      <w:u w:val="none"/>
      <w:lang w:val="ru-RU" w:eastAsia="ru-RU"/>
    </w:rPr>
  </w:style>
  <w:style w:type="character" w:styleId="Style22">
    <w:name w:val="Символ сноски"/>
    <w:qFormat/>
    <w:rPr/>
  </w:style>
  <w:style w:type="character" w:styleId="Style23">
    <w:name w:val="Привязка концевой сноски"/>
    <w:rPr>
      <w:vertAlign w:val="superscript"/>
    </w:rPr>
  </w:style>
  <w:style w:type="character" w:styleId="Style24">
    <w:name w:val="Символ концевой сноски"/>
    <w:qFormat/>
    <w:rPr/>
  </w:style>
  <w:style w:type="paragraph" w:styleId="Style25">
    <w:name w:val="Заголовок"/>
    <w:basedOn w:val="Normal"/>
    <w:next w:val="Style26"/>
    <w:qFormat/>
    <w:pPr>
      <w:keepNext w:val="true"/>
      <w:spacing w:before="240" w:after="120"/>
    </w:pPr>
    <w:rPr>
      <w:rFonts w:ascii="PT Astra Serif" w:hAnsi="PT Astra Serif" w:eastAsia="Tahoma" w:cs="Noto Sans Devanagari"/>
      <w:sz w:val="28"/>
      <w:szCs w:val="28"/>
    </w:rPr>
  </w:style>
  <w:style w:type="paragraph" w:styleId="Style26">
    <w:name w:val="Body Text"/>
    <w:basedOn w:val="Normal"/>
    <w:link w:val="ab"/>
    <w:uiPriority w:val="99"/>
    <w:rsid w:val="006750e2"/>
    <w:pPr>
      <w:widowControl/>
      <w:jc w:val="both"/>
    </w:pPr>
    <w:rPr/>
  </w:style>
  <w:style w:type="paragraph" w:styleId="Style27">
    <w:name w:val="List"/>
    <w:basedOn w:val="Style26"/>
    <w:pPr/>
    <w:rPr>
      <w:rFonts w:ascii="PT Astra Serif" w:hAnsi="PT Astra Serif" w:cs="Noto Sans Devanagari"/>
    </w:rPr>
  </w:style>
  <w:style w:type="paragraph" w:styleId="Style28">
    <w:name w:val="Caption"/>
    <w:basedOn w:val="Normal"/>
    <w:qFormat/>
    <w:pPr>
      <w:suppressLineNumbers/>
      <w:spacing w:before="120" w:after="120"/>
    </w:pPr>
    <w:rPr>
      <w:rFonts w:ascii="PT Astra Serif" w:hAnsi="PT Astra Serif"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31" w:customStyle="1">
    <w:name w:val="Основной текст 31"/>
    <w:basedOn w:val="Normal"/>
    <w:uiPriority w:val="99"/>
    <w:qFormat/>
    <w:rsid w:val="002b746f"/>
    <w:pPr>
      <w:widowControl/>
      <w:overflowPunct w:val="true"/>
      <w:textAlignment w:val="baseline"/>
    </w:pPr>
    <w:rPr>
      <w:sz w:val="24"/>
      <w:szCs w:val="24"/>
    </w:rPr>
  </w:style>
  <w:style w:type="paragraph" w:styleId="Style30">
    <w:name w:val="Верхний и нижний колонтитулы"/>
    <w:basedOn w:val="Normal"/>
    <w:qFormat/>
    <w:pPr/>
    <w:rPr/>
  </w:style>
  <w:style w:type="paragraph" w:styleId="Style31">
    <w:name w:val="Header"/>
    <w:basedOn w:val="Normal"/>
    <w:link w:val="a6"/>
    <w:uiPriority w:val="99"/>
    <w:rsid w:val="00942680"/>
    <w:pPr>
      <w:tabs>
        <w:tab w:val="clear" w:pos="709"/>
        <w:tab w:val="center" w:pos="4677" w:leader="none"/>
        <w:tab w:val="right" w:pos="9355" w:leader="none"/>
      </w:tabs>
    </w:pPr>
    <w:rPr/>
  </w:style>
  <w:style w:type="paragraph" w:styleId="Style32">
    <w:name w:val="Footer"/>
    <w:basedOn w:val="Normal"/>
    <w:link w:val="a9"/>
    <w:uiPriority w:val="99"/>
    <w:rsid w:val="00942680"/>
    <w:pPr>
      <w:tabs>
        <w:tab w:val="clear" w:pos="709"/>
        <w:tab w:val="center" w:pos="4677" w:leader="none"/>
        <w:tab w:val="right" w:pos="9355" w:leader="none"/>
      </w:tabs>
    </w:pPr>
    <w:rPr/>
  </w:style>
  <w:style w:type="paragraph" w:styleId="NoSpacing">
    <w:name w:val="No Spacing"/>
    <w:link w:val="ad"/>
    <w:uiPriority w:val="1"/>
    <w:qFormat/>
    <w:rsid w:val="00ad05eb"/>
    <w:pPr>
      <w:widowControl/>
      <w:bidi w:val="0"/>
      <w:spacing w:before="0" w:after="0"/>
      <w:jc w:val="left"/>
    </w:pPr>
    <w:rPr>
      <w:rFonts w:ascii="Calibri" w:hAnsi="Calibri" w:cs="Calibri" w:eastAsia="Times New Roman"/>
      <w:color w:val="auto"/>
      <w:kern w:val="0"/>
      <w:sz w:val="20"/>
      <w:szCs w:val="22"/>
      <w:lang w:val="ru-RU" w:eastAsia="ru-RU" w:bidi="ar-SA"/>
    </w:rPr>
  </w:style>
  <w:style w:type="paragraph" w:styleId="Style33">
    <w:name w:val="Body Text Indent"/>
    <w:basedOn w:val="Normal"/>
    <w:link w:val="af"/>
    <w:uiPriority w:val="99"/>
    <w:rsid w:val="00a4799a"/>
    <w:pPr>
      <w:spacing w:before="0" w:after="120"/>
      <w:ind w:left="283" w:hanging="0"/>
    </w:pPr>
    <w:rPr/>
  </w:style>
  <w:style w:type="paragraph" w:styleId="BodyTextIndent2">
    <w:name w:val="Body Text Indent 2"/>
    <w:basedOn w:val="Normal"/>
    <w:link w:val="20"/>
    <w:uiPriority w:val="99"/>
    <w:qFormat/>
    <w:rsid w:val="00c762d4"/>
    <w:pPr>
      <w:spacing w:lineRule="auto" w:line="480" w:before="0" w:after="120"/>
      <w:ind w:left="283" w:hanging="0"/>
    </w:pPr>
    <w:rPr/>
  </w:style>
  <w:style w:type="paragraph" w:styleId="13"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w:basedOn w:val="Normal"/>
    <w:autoRedefine/>
    <w:uiPriority w:val="99"/>
    <w:qFormat/>
    <w:rsid w:val="0022280c"/>
    <w:pPr>
      <w:widowControl/>
      <w:spacing w:lineRule="exact" w:line="240" w:before="0" w:after="160"/>
      <w:ind w:left="26" w:hanging="0"/>
    </w:pPr>
    <w:rPr>
      <w:sz w:val="24"/>
      <w:szCs w:val="24"/>
      <w:lang w:val="en-US" w:eastAsia="en-US"/>
    </w:rPr>
  </w:style>
  <w:style w:type="paragraph" w:styleId="131"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3"/>
    <w:basedOn w:val="Normal"/>
    <w:autoRedefine/>
    <w:uiPriority w:val="99"/>
    <w:qFormat/>
    <w:rsid w:val="00a762b6"/>
    <w:pPr>
      <w:widowControl/>
      <w:spacing w:lineRule="exact" w:line="240" w:before="0" w:after="160"/>
      <w:ind w:left="26" w:hanging="0"/>
    </w:pPr>
    <w:rPr>
      <w:sz w:val="24"/>
      <w:szCs w:val="24"/>
      <w:lang w:val="en-US" w:eastAsia="en-US"/>
    </w:rPr>
  </w:style>
  <w:style w:type="paragraph" w:styleId="121"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2"/>
    <w:basedOn w:val="Normal"/>
    <w:autoRedefine/>
    <w:uiPriority w:val="99"/>
    <w:qFormat/>
    <w:rsid w:val="00846764"/>
    <w:pPr>
      <w:widowControl/>
      <w:spacing w:lineRule="exact" w:line="240" w:before="0" w:after="160"/>
      <w:ind w:left="26" w:hanging="0"/>
    </w:pPr>
    <w:rPr>
      <w:sz w:val="24"/>
      <w:szCs w:val="24"/>
      <w:lang w:val="en-US" w:eastAsia="en-US"/>
    </w:rPr>
  </w:style>
  <w:style w:type="paragraph" w:styleId="111" w:customStyle="1">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Знак Знак1"/>
    <w:basedOn w:val="Normal"/>
    <w:autoRedefine/>
    <w:uiPriority w:val="99"/>
    <w:qFormat/>
    <w:rsid w:val="00695d4d"/>
    <w:pPr>
      <w:widowControl/>
      <w:spacing w:lineRule="exact" w:line="240" w:before="0" w:after="160"/>
      <w:ind w:left="26" w:hanging="0"/>
    </w:pPr>
    <w:rPr>
      <w:sz w:val="24"/>
      <w:szCs w:val="24"/>
      <w:lang w:val="en-US" w:eastAsia="en-US"/>
    </w:rPr>
  </w:style>
  <w:style w:type="paragraph" w:styleId="PlainText">
    <w:name w:val="Plain Text"/>
    <w:basedOn w:val="Normal"/>
    <w:link w:val="af1"/>
    <w:uiPriority w:val="99"/>
    <w:qFormat/>
    <w:rsid w:val="00395aa8"/>
    <w:pPr>
      <w:widowControl/>
    </w:pPr>
    <w:rPr>
      <w:rFonts w:ascii="Courier New" w:hAnsi="Courier New" w:cs="Courier New"/>
    </w:rPr>
  </w:style>
  <w:style w:type="paragraph" w:styleId="Style34">
    <w:name w:val="Footnote Text"/>
    <w:basedOn w:val="Normal"/>
    <w:link w:val="af3"/>
    <w:uiPriority w:val="99"/>
    <w:semiHidden/>
    <w:rsid w:val="0057465d"/>
    <w:pPr>
      <w:widowControl/>
    </w:pPr>
    <w:rPr/>
  </w:style>
  <w:style w:type="paragraph" w:styleId="3" w:customStyle="1">
    <w:name w:val="Знак3"/>
    <w:basedOn w:val="Normal"/>
    <w:autoRedefine/>
    <w:uiPriority w:val="99"/>
    <w:qFormat/>
    <w:rsid w:val="00832015"/>
    <w:pPr>
      <w:widowControl/>
      <w:spacing w:lineRule="exact" w:line="240" w:before="0" w:after="160"/>
      <w:ind w:left="26" w:hanging="0"/>
    </w:pPr>
    <w:rPr>
      <w:sz w:val="24"/>
      <w:szCs w:val="24"/>
      <w:lang w:val="en-US" w:eastAsia="en-US"/>
    </w:rPr>
  </w:style>
  <w:style w:type="paragraph" w:styleId="Style35">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3">
    <w:name w:val="Table Grid"/>
    <w:basedOn w:val="a1"/>
    <w:uiPriority w:val="99"/>
    <w:rsid w:val="002b746f"/>
    <w:rPr>
      <w:sz w:val="20"/>
      <w:szCs w:val="20"/>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Application>LibreOffice/6.4.7.2$Linux_X86_64 LibreOffice_project/40$Build-2</Application>
  <Pages>5</Pages>
  <Words>2603</Words>
  <Characters>19435</Characters>
  <CharactersWithSpaces>21990</CharactersWithSpaces>
  <Paragraphs>103</Paragraphs>
  <Company>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2022-10-28T09:20:00Z</dcterms:created>
  <dc:creator>Inspektor</dc:creator>
  <dc:description/>
  <dc:language>ru-RU</dc:language>
  <cp:lastModifiedBy/>
  <cp:lastPrinted>2023-11-16T05:28:00Z</cp:lastPrinted>
  <dcterms:modified xsi:type="dcterms:W3CDTF">2025-12-05T13:42:39Z</dcterms:modified>
  <cp:revision>14</cp:revision>
  <dc:subject/>
  <dc:title>ДОГОВОР  №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1</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